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775787">
        <w:rPr>
          <w:rFonts w:ascii="Times New Roman" w:hAnsi="Times New Roman"/>
          <w:sz w:val="24"/>
        </w:rPr>
        <w:tab/>
      </w:r>
      <w:r w:rsidR="00775787" w:rsidRPr="00775787">
        <w:rPr>
          <w:rFonts w:ascii="Times New Roman" w:hAnsi="Times New Roman"/>
          <w:sz w:val="24"/>
        </w:rPr>
        <w:t>R4-1906452</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4A01E4">
        <w:rPr>
          <w:rFonts w:ascii="Arial" w:hAnsi="Arial" w:cs="Arial"/>
          <w:sz w:val="24"/>
          <w:lang w:val="en-US" w:eastAsia="zh-CN"/>
        </w:rPr>
        <w:t>Specification structure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D120B">
        <w:rPr>
          <w:rFonts w:ascii="Arial" w:hAnsi="Arial" w:cs="Arial"/>
          <w:sz w:val="24"/>
          <w:lang w:val="en-US" w:eastAsia="zh-CN"/>
        </w:rPr>
        <w:t>8.1.5</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E67136">
        <w:rPr>
          <w:rFonts w:ascii="Arial" w:hAnsi="Arial" w:cs="Arial"/>
          <w:sz w:val="24"/>
          <w:lang w:val="en-US" w:eastAsia="zh-CN"/>
        </w:rPr>
        <w:t>Discussion</w:t>
      </w:r>
      <w:bookmarkStart w:id="0" w:name="_GoBack"/>
      <w:bookmarkEnd w:id="0"/>
    </w:p>
    <w:p w:rsidR="00E948E9" w:rsidRDefault="005813AA" w:rsidP="002E5998">
      <w:pPr>
        <w:pStyle w:val="Heading1"/>
      </w:pPr>
      <w:r w:rsidRPr="00DA6BF8">
        <w:t>Introduction</w:t>
      </w:r>
    </w:p>
    <w:p w:rsidR="00672856" w:rsidRDefault="004A01E4" w:rsidP="00672856">
      <w:r>
        <w:t>For NR-U, updates will be needed to both 36.133 (Scenario B) and 38.133. The NR-U way forward contains the following on specification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4A01E4" w:rsidTr="00FD7A1E">
        <w:tc>
          <w:tcPr>
            <w:tcW w:w="10763" w:type="dxa"/>
            <w:shd w:val="clear" w:color="auto" w:fill="auto"/>
          </w:tcPr>
          <w:p w:rsidR="004A01E4" w:rsidRPr="00FD7A1E" w:rsidRDefault="004A01E4" w:rsidP="00FD7A1E">
            <w:pPr>
              <w:numPr>
                <w:ilvl w:val="0"/>
                <w:numId w:val="39"/>
              </w:numPr>
              <w:spacing w:after="120"/>
              <w:rPr>
                <w:sz w:val="22"/>
                <w:szCs w:val="22"/>
                <w:lang w:eastAsia="x-none"/>
              </w:rPr>
            </w:pPr>
            <w:r w:rsidRPr="00FD7A1E">
              <w:rPr>
                <w:sz w:val="22"/>
                <w:szCs w:val="22"/>
                <w:lang w:eastAsia="x-none"/>
              </w:rPr>
              <w:t>Specification structure impact for TS 38.133 and TS 36.133 (Scenario B only), which can be based on the following principles:</w:t>
            </w:r>
          </w:p>
          <w:p w:rsidR="004A01E4" w:rsidRPr="00FD7A1E" w:rsidRDefault="004A01E4" w:rsidP="00FD7A1E">
            <w:pPr>
              <w:numPr>
                <w:ilvl w:val="1"/>
                <w:numId w:val="39"/>
              </w:numPr>
              <w:rPr>
                <w:sz w:val="22"/>
                <w:szCs w:val="22"/>
                <w:lang w:eastAsia="x-none"/>
              </w:rPr>
            </w:pPr>
            <w:r w:rsidRPr="00FD7A1E">
              <w:rPr>
                <w:sz w:val="22"/>
                <w:szCs w:val="22"/>
                <w:lang w:eastAsia="x-none"/>
              </w:rPr>
              <w:t>The specification structure needs to fit the requirements structure, implying e.g.</w:t>
            </w:r>
          </w:p>
          <w:p w:rsidR="004A01E4" w:rsidRPr="00FD7A1E" w:rsidRDefault="004A01E4" w:rsidP="00FD7A1E">
            <w:pPr>
              <w:numPr>
                <w:ilvl w:val="2"/>
                <w:numId w:val="39"/>
              </w:numPr>
              <w:rPr>
                <w:sz w:val="22"/>
                <w:szCs w:val="22"/>
                <w:lang w:eastAsia="x-none"/>
              </w:rPr>
            </w:pPr>
            <w:r w:rsidRPr="00FD7A1E">
              <w:rPr>
                <w:sz w:val="22"/>
                <w:szCs w:val="22"/>
                <w:lang w:eastAsia="x-none"/>
              </w:rPr>
              <w:t>RAN4 needs to find a suitable structure fitting different scenarios,</w:t>
            </w:r>
          </w:p>
          <w:p w:rsidR="004A01E4" w:rsidRPr="00FD7A1E" w:rsidRDefault="004A01E4" w:rsidP="00FD7A1E">
            <w:pPr>
              <w:numPr>
                <w:ilvl w:val="2"/>
                <w:numId w:val="39"/>
              </w:numPr>
              <w:rPr>
                <w:sz w:val="22"/>
                <w:szCs w:val="22"/>
                <w:lang w:eastAsia="x-none"/>
              </w:rPr>
            </w:pPr>
            <w:r w:rsidRPr="00FD7A1E">
              <w:rPr>
                <w:sz w:val="22"/>
                <w:szCs w:val="22"/>
                <w:lang w:eastAsia="x-none"/>
              </w:rPr>
              <w:t>RAN4 needs to strive to avoid text duplication as much as possible and use references,</w:t>
            </w:r>
          </w:p>
          <w:p w:rsidR="004A01E4" w:rsidRPr="00FD7A1E" w:rsidRDefault="004A01E4" w:rsidP="00FD7A1E">
            <w:pPr>
              <w:numPr>
                <w:ilvl w:val="2"/>
                <w:numId w:val="39"/>
              </w:numPr>
              <w:rPr>
                <w:sz w:val="22"/>
                <w:szCs w:val="22"/>
                <w:lang w:eastAsia="x-none"/>
              </w:rPr>
            </w:pPr>
            <w:r w:rsidRPr="00FD7A1E">
              <w:rPr>
                <w:sz w:val="22"/>
                <w:szCs w:val="22"/>
                <w:lang w:eastAsia="x-none"/>
              </w:rPr>
              <w:t>RAN4 needs to consider both TS 38.133 and TS 36.133 for Scenario B and strive for the structure similarity between the two,</w:t>
            </w:r>
          </w:p>
          <w:p w:rsidR="004A01E4" w:rsidRPr="00FD7A1E" w:rsidRDefault="004A01E4" w:rsidP="00FD7A1E">
            <w:pPr>
              <w:numPr>
                <w:ilvl w:val="1"/>
                <w:numId w:val="39"/>
              </w:numPr>
              <w:rPr>
                <w:sz w:val="22"/>
                <w:szCs w:val="22"/>
                <w:lang w:eastAsia="x-none"/>
              </w:rPr>
            </w:pPr>
            <w:r w:rsidRPr="00FD7A1E">
              <w:rPr>
                <w:sz w:val="22"/>
                <w:szCs w:val="22"/>
                <w:lang w:eastAsia="x-none"/>
              </w:rPr>
              <w:t>The NR-U terminology needs to be aligned with other working groups (e.g., how to refer to NR-U in RRM specifications, scenarios naming, etc.).</w:t>
            </w:r>
          </w:p>
        </w:tc>
      </w:tr>
    </w:tbl>
    <w:p w:rsidR="004A01E4" w:rsidRPr="00672856" w:rsidRDefault="004A01E4" w:rsidP="00672856"/>
    <w:p w:rsidR="004A01E4" w:rsidRDefault="004A01E4" w:rsidP="004A01E4">
      <w:pPr>
        <w:pStyle w:val="Heading1"/>
      </w:pPr>
      <w:r w:rsidRPr="00DA6BF8">
        <w:t>Introduction</w:t>
      </w:r>
    </w:p>
    <w:p w:rsidR="006A7E5D" w:rsidRDefault="006A7E5D" w:rsidP="006A7E5D">
      <w:pPr>
        <w:rPr>
          <w:lang w:val="en-US" w:eastAsia="zh-CN"/>
        </w:rPr>
      </w:pPr>
      <w:r w:rsidRPr="00A6588A">
        <w:rPr>
          <w:lang w:val="en-US" w:eastAsia="zh-CN"/>
        </w:rPr>
        <w:t>There</w:t>
      </w:r>
      <w:r>
        <w:rPr>
          <w:lang w:val="en-US" w:eastAsia="zh-CN"/>
        </w:rPr>
        <w:t xml:space="preserve"> were initial discussions on terminology in RAN4#90bis. In other working groups, NR-U in itself is not considered as a feature, and hence it would be undesirable to refer to a specific requirement as “applying to NR-U” or similar. Rather, the requirements should be said to apply to various </w:t>
      </w:r>
      <w:r w:rsidR="009D120B">
        <w:rPr>
          <w:lang w:val="en-US" w:eastAsia="zh-CN"/>
        </w:rPr>
        <w:t>sub features</w:t>
      </w:r>
      <w:r>
        <w:rPr>
          <w:lang w:val="en-US" w:eastAsia="zh-CN"/>
        </w:rPr>
        <w:t xml:space="preserve"> which are used to facilitate NR-U operation. An example of a sub</w:t>
      </w:r>
      <w:r w:rsidR="009D120B">
        <w:rPr>
          <w:lang w:val="en-US" w:eastAsia="zh-CN"/>
        </w:rPr>
        <w:t xml:space="preserve"> feature</w:t>
      </w:r>
      <w:r>
        <w:rPr>
          <w:lang w:val="en-US" w:eastAsia="zh-CN"/>
        </w:rPr>
        <w:t xml:space="preserve"> which is important from an RRM perspective could be “Requirements for measurements of SSB transmitted within a DRS transmission window” which captures that the SSB are transmitted in a different way between NR and NR-U. Since RAN1 and RAN2 have not finalized their work, further work is needed to ensure that terminology is well aligned across different WG specifications.</w:t>
      </w:r>
    </w:p>
    <w:p w:rsidR="006A7E5D" w:rsidRPr="006A7E5D" w:rsidRDefault="006A7E5D" w:rsidP="006B6666">
      <w:pPr>
        <w:rPr>
          <w:b/>
          <w:lang w:val="en-US" w:eastAsia="zh-CN"/>
        </w:rPr>
      </w:pPr>
      <w:r>
        <w:rPr>
          <w:b/>
          <w:lang w:val="en-US" w:eastAsia="zh-CN"/>
        </w:rPr>
        <w:t>Proposal 1: Further work is performed to align terminology across different WG specifications</w:t>
      </w:r>
    </w:p>
    <w:p w:rsidR="004A01E4" w:rsidRDefault="004A01E4" w:rsidP="006B6666">
      <w:pPr>
        <w:rPr>
          <w:lang w:val="en-US" w:eastAsia="zh-CN"/>
        </w:rPr>
      </w:pPr>
      <w:r w:rsidRPr="004A01E4">
        <w:rPr>
          <w:lang w:val="en-US" w:eastAsia="zh-CN"/>
        </w:rPr>
        <w:t>From</w:t>
      </w:r>
      <w:r>
        <w:rPr>
          <w:lang w:val="en-US" w:eastAsia="zh-CN"/>
        </w:rPr>
        <w:t xml:space="preserve"> the </w:t>
      </w:r>
      <w:r w:rsidR="006A7E5D">
        <w:rPr>
          <w:lang w:val="en-US" w:eastAsia="zh-CN"/>
        </w:rPr>
        <w:t>NR-U RRM</w:t>
      </w:r>
      <w:r>
        <w:rPr>
          <w:lang w:val="en-US" w:eastAsia="zh-CN"/>
        </w:rPr>
        <w:t xml:space="preserve"> way forward </w:t>
      </w:r>
      <w:r>
        <w:rPr>
          <w:lang w:val="en-US" w:eastAsia="zh-CN"/>
        </w:rPr>
        <w:fldChar w:fldCharType="begin"/>
      </w:r>
      <w:r>
        <w:rPr>
          <w:lang w:val="en-US" w:eastAsia="zh-CN"/>
        </w:rPr>
        <w:instrText xml:space="preserve"> REF _Ref7010000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there is an overview of necessary requirements for scenarios A-C</w:t>
      </w:r>
      <w:r w:rsidR="00524D09">
        <w:rPr>
          <w:lang w:val="en-US" w:eastAsia="zh-CN"/>
        </w:rPr>
        <w:t xml:space="preserve"> which is shown in table 1.</w:t>
      </w:r>
      <w:r w:rsidR="006A7E5D">
        <w:rPr>
          <w:lang w:val="en-US" w:eastAsia="zh-CN"/>
        </w:rPr>
        <w:t xml:space="preserve"> As a reminder, the scenarios for NR-U are:</w:t>
      </w:r>
    </w:p>
    <w:p w:rsidR="00524D09" w:rsidRPr="00330DCC" w:rsidRDefault="00524D09" w:rsidP="00524D09">
      <w:pPr>
        <w:numPr>
          <w:ilvl w:val="0"/>
          <w:numId w:val="41"/>
        </w:numPr>
        <w:overflowPunct w:val="0"/>
        <w:autoSpaceDE w:val="0"/>
        <w:autoSpaceDN w:val="0"/>
        <w:adjustRightInd w:val="0"/>
        <w:spacing w:after="0"/>
        <w:textAlignment w:val="baseline"/>
        <w:rPr>
          <w:bCs/>
          <w:sz w:val="22"/>
          <w:szCs w:val="22"/>
        </w:rPr>
      </w:pPr>
      <w:bookmarkStart w:id="1" w:name="_Hlk3280971"/>
      <w:r w:rsidRPr="00330DCC">
        <w:rPr>
          <w:b/>
          <w:bCs/>
          <w:sz w:val="22"/>
          <w:szCs w:val="22"/>
        </w:rPr>
        <w:t>Scenario A</w:t>
      </w:r>
      <w:r w:rsidRPr="00330DCC">
        <w:rPr>
          <w:bCs/>
          <w:sz w:val="22"/>
          <w:szCs w:val="22"/>
        </w:rPr>
        <w:t xml:space="preserve">: Carrier aggregation between licensed band NR (PCell) and NR-U (SCell) </w:t>
      </w:r>
    </w:p>
    <w:p w:rsidR="00524D09" w:rsidRPr="00330DCC" w:rsidRDefault="00524D09" w:rsidP="00524D09">
      <w:pPr>
        <w:numPr>
          <w:ilvl w:val="1"/>
          <w:numId w:val="41"/>
        </w:numPr>
        <w:overflowPunct w:val="0"/>
        <w:autoSpaceDE w:val="0"/>
        <w:autoSpaceDN w:val="0"/>
        <w:adjustRightInd w:val="0"/>
        <w:spacing w:after="0"/>
        <w:textAlignment w:val="baseline"/>
        <w:rPr>
          <w:bCs/>
          <w:sz w:val="22"/>
          <w:szCs w:val="22"/>
        </w:rPr>
      </w:pPr>
      <w:r w:rsidRPr="00330DCC">
        <w:rPr>
          <w:bCs/>
          <w:sz w:val="22"/>
          <w:szCs w:val="22"/>
        </w:rPr>
        <w:t>NR-U SCell may have both DL and UL, or DL-only.</w:t>
      </w:r>
    </w:p>
    <w:p w:rsidR="00524D09" w:rsidRPr="00330DCC" w:rsidRDefault="00524D09" w:rsidP="00524D09">
      <w:pPr>
        <w:numPr>
          <w:ilvl w:val="0"/>
          <w:numId w:val="41"/>
        </w:numPr>
        <w:overflowPunct w:val="0"/>
        <w:autoSpaceDE w:val="0"/>
        <w:autoSpaceDN w:val="0"/>
        <w:adjustRightInd w:val="0"/>
        <w:spacing w:after="0"/>
        <w:textAlignment w:val="baseline"/>
        <w:rPr>
          <w:bCs/>
          <w:sz w:val="22"/>
          <w:szCs w:val="22"/>
        </w:rPr>
      </w:pPr>
      <w:r w:rsidRPr="00330DCC">
        <w:rPr>
          <w:b/>
          <w:bCs/>
          <w:sz w:val="22"/>
          <w:szCs w:val="22"/>
        </w:rPr>
        <w:t>Scenario B</w:t>
      </w:r>
      <w:r w:rsidRPr="00330DCC">
        <w:rPr>
          <w:bCs/>
          <w:sz w:val="22"/>
          <w:szCs w:val="22"/>
        </w:rPr>
        <w:t>: Dual connectivity between licensed band LTE (PCell) and NR-U (PSCell)</w:t>
      </w:r>
    </w:p>
    <w:p w:rsidR="00524D09" w:rsidRPr="00330DCC" w:rsidRDefault="00524D09" w:rsidP="00524D09">
      <w:pPr>
        <w:numPr>
          <w:ilvl w:val="0"/>
          <w:numId w:val="41"/>
        </w:numPr>
        <w:overflowPunct w:val="0"/>
        <w:autoSpaceDE w:val="0"/>
        <w:autoSpaceDN w:val="0"/>
        <w:adjustRightInd w:val="0"/>
        <w:spacing w:after="0"/>
        <w:textAlignment w:val="baseline"/>
        <w:rPr>
          <w:bCs/>
          <w:sz w:val="22"/>
          <w:szCs w:val="22"/>
        </w:rPr>
      </w:pPr>
      <w:r w:rsidRPr="00330DCC">
        <w:rPr>
          <w:b/>
          <w:bCs/>
          <w:sz w:val="22"/>
          <w:szCs w:val="22"/>
        </w:rPr>
        <w:t>Scenario C</w:t>
      </w:r>
      <w:r w:rsidRPr="00330DCC">
        <w:rPr>
          <w:bCs/>
          <w:sz w:val="22"/>
          <w:szCs w:val="22"/>
        </w:rPr>
        <w:t>: Stand-alone NR-U</w:t>
      </w:r>
    </w:p>
    <w:p w:rsidR="00524D09" w:rsidRPr="00330DCC" w:rsidRDefault="00524D09" w:rsidP="00524D09">
      <w:pPr>
        <w:numPr>
          <w:ilvl w:val="0"/>
          <w:numId w:val="41"/>
        </w:numPr>
        <w:overflowPunct w:val="0"/>
        <w:autoSpaceDE w:val="0"/>
        <w:autoSpaceDN w:val="0"/>
        <w:adjustRightInd w:val="0"/>
        <w:spacing w:after="0"/>
        <w:textAlignment w:val="baseline"/>
        <w:rPr>
          <w:bCs/>
          <w:sz w:val="22"/>
          <w:szCs w:val="22"/>
        </w:rPr>
      </w:pPr>
      <w:r w:rsidRPr="00330DCC">
        <w:rPr>
          <w:b/>
          <w:bCs/>
          <w:sz w:val="22"/>
          <w:szCs w:val="22"/>
        </w:rPr>
        <w:t>Scenario D</w:t>
      </w:r>
      <w:r w:rsidRPr="00330DCC">
        <w:rPr>
          <w:bCs/>
          <w:sz w:val="22"/>
          <w:szCs w:val="22"/>
        </w:rPr>
        <w:t>: A stand-alone NR cell in unlicensed band and UL in licensed band</w:t>
      </w:r>
    </w:p>
    <w:p w:rsidR="00524D09" w:rsidRPr="00330DCC" w:rsidRDefault="00524D09" w:rsidP="00524D09">
      <w:pPr>
        <w:numPr>
          <w:ilvl w:val="0"/>
          <w:numId w:val="41"/>
        </w:numPr>
        <w:overflowPunct w:val="0"/>
        <w:autoSpaceDE w:val="0"/>
        <w:autoSpaceDN w:val="0"/>
        <w:adjustRightInd w:val="0"/>
        <w:spacing w:after="0"/>
        <w:textAlignment w:val="baseline"/>
        <w:rPr>
          <w:bCs/>
          <w:sz w:val="22"/>
          <w:szCs w:val="22"/>
        </w:rPr>
      </w:pPr>
      <w:r w:rsidRPr="00330DCC">
        <w:rPr>
          <w:b/>
          <w:bCs/>
          <w:sz w:val="22"/>
          <w:szCs w:val="22"/>
        </w:rPr>
        <w:t>Scenario E</w:t>
      </w:r>
      <w:r w:rsidRPr="00330DCC">
        <w:rPr>
          <w:bCs/>
          <w:sz w:val="22"/>
          <w:szCs w:val="22"/>
        </w:rPr>
        <w:t xml:space="preserve">: Dual connectivity between licensed band NR and NR-U </w:t>
      </w:r>
    </w:p>
    <w:bookmarkEnd w:id="1"/>
    <w:p w:rsidR="00524D09" w:rsidRDefault="00524D09" w:rsidP="006B6666">
      <w:pPr>
        <w:rPr>
          <w:lang w:val="en-US" w:eastAsia="zh-CN"/>
        </w:rPr>
      </w:pPr>
    </w:p>
    <w:p w:rsidR="004A01E4" w:rsidRPr="00210739" w:rsidRDefault="004A01E4" w:rsidP="004A01E4">
      <w:pPr>
        <w:spacing w:after="120"/>
        <w:rPr>
          <w:b/>
          <w:lang w:eastAsia="x-none"/>
        </w:rPr>
      </w:pPr>
      <w:r>
        <w:rPr>
          <w:b/>
          <w:lang w:eastAsia="x-none"/>
        </w:rPr>
        <w:t>Table 1: RRM requirements  for supporting  scenarios with different NR-U cells</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3255"/>
        <w:gridCol w:w="847"/>
        <w:gridCol w:w="29"/>
        <w:gridCol w:w="819"/>
        <w:gridCol w:w="1585"/>
        <w:gridCol w:w="1560"/>
      </w:tblGrid>
      <w:tr w:rsidR="004A01E4" w:rsidRPr="00AD010C" w:rsidTr="002E3D0B">
        <w:trPr>
          <w:trHeight w:val="295"/>
        </w:trPr>
        <w:tc>
          <w:tcPr>
            <w:tcW w:w="2645" w:type="dxa"/>
            <w:vMerge w:val="restart"/>
            <w:shd w:val="clear" w:color="auto" w:fill="auto"/>
          </w:tcPr>
          <w:p w:rsidR="004A01E4" w:rsidRPr="008E54E5" w:rsidRDefault="004A01E4" w:rsidP="002E3D0B">
            <w:pPr>
              <w:jc w:val="both"/>
              <w:rPr>
                <w:b/>
                <w:color w:val="000000"/>
                <w:sz w:val="18"/>
                <w:szCs w:val="18"/>
              </w:rPr>
            </w:pPr>
            <w:r w:rsidRPr="008E54E5">
              <w:rPr>
                <w:b/>
                <w:color w:val="000000"/>
                <w:sz w:val="18"/>
                <w:szCs w:val="18"/>
              </w:rPr>
              <w:t>Requirements</w:t>
            </w:r>
          </w:p>
        </w:tc>
        <w:tc>
          <w:tcPr>
            <w:tcW w:w="3255" w:type="dxa"/>
            <w:vMerge w:val="restart"/>
            <w:shd w:val="clear" w:color="auto" w:fill="auto"/>
          </w:tcPr>
          <w:p w:rsidR="004A01E4" w:rsidRPr="008E54E5" w:rsidRDefault="004A01E4" w:rsidP="002E3D0B">
            <w:pPr>
              <w:jc w:val="center"/>
              <w:rPr>
                <w:b/>
                <w:color w:val="000000"/>
                <w:sz w:val="18"/>
                <w:szCs w:val="18"/>
              </w:rPr>
            </w:pPr>
            <w:r w:rsidRPr="008E54E5">
              <w:rPr>
                <w:b/>
                <w:color w:val="000000"/>
                <w:sz w:val="18"/>
                <w:szCs w:val="18"/>
              </w:rPr>
              <w:t>Comments</w:t>
            </w:r>
          </w:p>
        </w:tc>
        <w:tc>
          <w:tcPr>
            <w:tcW w:w="1695" w:type="dxa"/>
            <w:gridSpan w:val="3"/>
          </w:tcPr>
          <w:p w:rsidR="004A01E4" w:rsidRPr="008E54E5" w:rsidRDefault="004A01E4" w:rsidP="002E3D0B">
            <w:pPr>
              <w:jc w:val="center"/>
              <w:rPr>
                <w:b/>
                <w:color w:val="000000"/>
                <w:sz w:val="18"/>
                <w:szCs w:val="18"/>
              </w:rPr>
            </w:pPr>
            <w:r>
              <w:rPr>
                <w:b/>
                <w:color w:val="000000"/>
                <w:sz w:val="18"/>
                <w:szCs w:val="18"/>
              </w:rPr>
              <w:t xml:space="preserve">NR-U SCell       (Scenario A, </w:t>
            </w:r>
            <w:r>
              <w:rPr>
                <w:b/>
                <w:color w:val="000000"/>
                <w:sz w:val="18"/>
                <w:szCs w:val="18"/>
              </w:rPr>
              <w:lastRenderedPageBreak/>
              <w:t>Scenario B with CA, Scenario C with CA)</w:t>
            </w:r>
          </w:p>
        </w:tc>
        <w:tc>
          <w:tcPr>
            <w:tcW w:w="1585" w:type="dxa"/>
            <w:vMerge w:val="restart"/>
          </w:tcPr>
          <w:p w:rsidR="004A01E4" w:rsidRDefault="004A01E4" w:rsidP="002E3D0B">
            <w:pPr>
              <w:jc w:val="center"/>
              <w:rPr>
                <w:b/>
                <w:color w:val="000000"/>
                <w:sz w:val="18"/>
                <w:szCs w:val="18"/>
              </w:rPr>
            </w:pPr>
            <w:r>
              <w:rPr>
                <w:b/>
                <w:color w:val="000000"/>
                <w:sz w:val="18"/>
                <w:szCs w:val="18"/>
              </w:rPr>
              <w:lastRenderedPageBreak/>
              <w:t xml:space="preserve">NR-U PSCell </w:t>
            </w:r>
            <w:r>
              <w:rPr>
                <w:b/>
                <w:color w:val="000000"/>
                <w:sz w:val="18"/>
                <w:szCs w:val="18"/>
              </w:rPr>
              <w:lastRenderedPageBreak/>
              <w:t>(Scenario B</w:t>
            </w:r>
            <w:r>
              <w:rPr>
                <w:b/>
                <w:color w:val="000000"/>
                <w:sz w:val="18"/>
                <w:szCs w:val="18"/>
                <w:vertAlign w:val="superscript"/>
                <w:lang w:val="sv-SE"/>
              </w:rPr>
              <w:t xml:space="preserve"> N</w:t>
            </w:r>
            <w:r w:rsidRPr="00D8667A">
              <w:rPr>
                <w:b/>
                <w:color w:val="000000"/>
                <w:sz w:val="18"/>
                <w:szCs w:val="18"/>
                <w:vertAlign w:val="superscript"/>
                <w:lang w:val="sv-SE"/>
              </w:rPr>
              <w:t>ote 2</w:t>
            </w:r>
            <w:r>
              <w:rPr>
                <w:b/>
                <w:color w:val="000000"/>
                <w:sz w:val="18"/>
                <w:szCs w:val="18"/>
              </w:rPr>
              <w:t>)</w:t>
            </w:r>
          </w:p>
        </w:tc>
        <w:tc>
          <w:tcPr>
            <w:tcW w:w="1560" w:type="dxa"/>
            <w:vMerge w:val="restart"/>
          </w:tcPr>
          <w:p w:rsidR="004A01E4" w:rsidRPr="00AD010C" w:rsidRDefault="004A01E4" w:rsidP="002E3D0B">
            <w:pPr>
              <w:jc w:val="center"/>
              <w:rPr>
                <w:b/>
                <w:color w:val="000000"/>
                <w:sz w:val="18"/>
                <w:szCs w:val="18"/>
                <w:lang w:val="sv-SE"/>
              </w:rPr>
            </w:pPr>
            <w:r w:rsidRPr="00AD010C">
              <w:rPr>
                <w:b/>
                <w:color w:val="000000"/>
                <w:sz w:val="18"/>
                <w:szCs w:val="18"/>
                <w:lang w:val="sv-SE"/>
              </w:rPr>
              <w:lastRenderedPageBreak/>
              <w:t xml:space="preserve">NR-U PCell </w:t>
            </w:r>
            <w:r w:rsidRPr="00AD010C">
              <w:rPr>
                <w:b/>
                <w:color w:val="000000"/>
                <w:sz w:val="18"/>
                <w:szCs w:val="18"/>
                <w:lang w:val="sv-SE"/>
              </w:rPr>
              <w:lastRenderedPageBreak/>
              <w:t>(Scenario C</w:t>
            </w:r>
            <w:r>
              <w:rPr>
                <w:b/>
                <w:color w:val="000000"/>
                <w:sz w:val="18"/>
                <w:szCs w:val="18"/>
                <w:vertAlign w:val="superscript"/>
                <w:lang w:val="sv-SE"/>
              </w:rPr>
              <w:t xml:space="preserve"> N</w:t>
            </w:r>
            <w:r w:rsidRPr="00D8667A">
              <w:rPr>
                <w:b/>
                <w:color w:val="000000"/>
                <w:sz w:val="18"/>
                <w:szCs w:val="18"/>
                <w:vertAlign w:val="superscript"/>
                <w:lang w:val="sv-SE"/>
              </w:rPr>
              <w:t>ote 2</w:t>
            </w:r>
            <w:r w:rsidRPr="00AD010C">
              <w:rPr>
                <w:b/>
                <w:color w:val="000000"/>
                <w:sz w:val="18"/>
                <w:szCs w:val="18"/>
                <w:lang w:val="sv-SE"/>
              </w:rPr>
              <w:t>)</w:t>
            </w:r>
          </w:p>
        </w:tc>
      </w:tr>
      <w:tr w:rsidR="004A01E4" w:rsidRPr="007F1EF5" w:rsidTr="002E3D0B">
        <w:trPr>
          <w:trHeight w:val="295"/>
        </w:trPr>
        <w:tc>
          <w:tcPr>
            <w:tcW w:w="2645" w:type="dxa"/>
            <w:vMerge/>
            <w:shd w:val="clear" w:color="auto" w:fill="auto"/>
          </w:tcPr>
          <w:p w:rsidR="004A01E4" w:rsidRPr="00AD010C" w:rsidRDefault="004A01E4" w:rsidP="002E3D0B">
            <w:pPr>
              <w:jc w:val="both"/>
              <w:rPr>
                <w:b/>
                <w:color w:val="000000"/>
                <w:sz w:val="18"/>
                <w:szCs w:val="18"/>
                <w:lang w:val="sv-SE"/>
              </w:rPr>
            </w:pPr>
          </w:p>
        </w:tc>
        <w:tc>
          <w:tcPr>
            <w:tcW w:w="3255" w:type="dxa"/>
            <w:vMerge/>
            <w:shd w:val="clear" w:color="auto" w:fill="auto"/>
          </w:tcPr>
          <w:p w:rsidR="004A01E4" w:rsidRPr="00AD010C" w:rsidRDefault="004A01E4" w:rsidP="002E3D0B">
            <w:pPr>
              <w:jc w:val="center"/>
              <w:rPr>
                <w:b/>
                <w:color w:val="000000"/>
                <w:sz w:val="18"/>
                <w:szCs w:val="18"/>
                <w:lang w:val="sv-SE"/>
              </w:rPr>
            </w:pPr>
          </w:p>
        </w:tc>
        <w:tc>
          <w:tcPr>
            <w:tcW w:w="876" w:type="dxa"/>
            <w:gridSpan w:val="2"/>
          </w:tcPr>
          <w:p w:rsidR="004A01E4" w:rsidRDefault="004A01E4" w:rsidP="002E3D0B">
            <w:pPr>
              <w:jc w:val="center"/>
              <w:rPr>
                <w:b/>
                <w:color w:val="000000"/>
                <w:sz w:val="18"/>
                <w:szCs w:val="18"/>
              </w:rPr>
            </w:pPr>
            <w:r>
              <w:rPr>
                <w:b/>
                <w:color w:val="000000"/>
                <w:sz w:val="18"/>
                <w:szCs w:val="18"/>
              </w:rPr>
              <w:t>DL</w:t>
            </w:r>
          </w:p>
        </w:tc>
        <w:tc>
          <w:tcPr>
            <w:tcW w:w="819" w:type="dxa"/>
          </w:tcPr>
          <w:p w:rsidR="004A01E4" w:rsidRPr="008E54E5" w:rsidRDefault="004A01E4" w:rsidP="002E3D0B">
            <w:pPr>
              <w:jc w:val="center"/>
              <w:rPr>
                <w:b/>
                <w:color w:val="000000"/>
                <w:sz w:val="18"/>
                <w:szCs w:val="18"/>
              </w:rPr>
            </w:pPr>
            <w:r>
              <w:rPr>
                <w:b/>
                <w:color w:val="000000"/>
                <w:sz w:val="18"/>
                <w:szCs w:val="18"/>
              </w:rPr>
              <w:t>DL+UL</w:t>
            </w:r>
          </w:p>
        </w:tc>
        <w:tc>
          <w:tcPr>
            <w:tcW w:w="1585" w:type="dxa"/>
            <w:vMerge/>
          </w:tcPr>
          <w:p w:rsidR="004A01E4" w:rsidRDefault="004A01E4" w:rsidP="002E3D0B">
            <w:pPr>
              <w:jc w:val="center"/>
              <w:rPr>
                <w:b/>
                <w:color w:val="000000"/>
                <w:sz w:val="18"/>
                <w:szCs w:val="18"/>
              </w:rPr>
            </w:pPr>
          </w:p>
        </w:tc>
        <w:tc>
          <w:tcPr>
            <w:tcW w:w="1560" w:type="dxa"/>
            <w:vMerge/>
          </w:tcPr>
          <w:p w:rsidR="004A01E4" w:rsidRDefault="004A01E4" w:rsidP="002E3D0B">
            <w:pPr>
              <w:jc w:val="center"/>
              <w:rPr>
                <w:b/>
                <w:color w:val="000000"/>
                <w:sz w:val="18"/>
                <w:szCs w:val="18"/>
              </w:rPr>
            </w:pP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Pr>
                <w:color w:val="000000"/>
                <w:sz w:val="18"/>
                <w:szCs w:val="18"/>
              </w:rPr>
              <w:t>Cell reselection</w:t>
            </w:r>
          </w:p>
        </w:tc>
        <w:tc>
          <w:tcPr>
            <w:tcW w:w="3255" w:type="dxa"/>
            <w:shd w:val="clear" w:color="auto" w:fill="auto"/>
          </w:tcPr>
          <w:p w:rsidR="004A01E4" w:rsidRDefault="004A01E4" w:rsidP="004A01E4">
            <w:pPr>
              <w:numPr>
                <w:ilvl w:val="0"/>
                <w:numId w:val="41"/>
              </w:numPr>
              <w:spacing w:after="0"/>
              <w:jc w:val="both"/>
              <w:rPr>
                <w:sz w:val="18"/>
                <w:szCs w:val="18"/>
              </w:rPr>
            </w:pPr>
            <w:r>
              <w:rPr>
                <w:sz w:val="18"/>
                <w:szCs w:val="18"/>
              </w:rPr>
              <w:t>Intra-frequency</w:t>
            </w:r>
          </w:p>
          <w:p w:rsidR="004A01E4" w:rsidRDefault="004A01E4" w:rsidP="004A01E4">
            <w:pPr>
              <w:numPr>
                <w:ilvl w:val="0"/>
                <w:numId w:val="41"/>
              </w:numPr>
              <w:spacing w:after="0"/>
              <w:jc w:val="both"/>
              <w:rPr>
                <w:sz w:val="18"/>
                <w:szCs w:val="18"/>
              </w:rPr>
            </w:pPr>
            <w:r>
              <w:rPr>
                <w:sz w:val="18"/>
                <w:szCs w:val="18"/>
              </w:rPr>
              <w:t>Inter-frequency</w:t>
            </w:r>
          </w:p>
          <w:p w:rsidR="004A01E4" w:rsidRPr="008E54E5" w:rsidRDefault="004A01E4" w:rsidP="004A01E4">
            <w:pPr>
              <w:numPr>
                <w:ilvl w:val="0"/>
                <w:numId w:val="41"/>
              </w:numPr>
              <w:spacing w:after="0"/>
              <w:jc w:val="both"/>
              <w:rPr>
                <w:sz w:val="18"/>
                <w:szCs w:val="18"/>
              </w:rPr>
            </w:pPr>
            <w:r>
              <w:rPr>
                <w:sz w:val="18"/>
                <w:szCs w:val="18"/>
              </w:rPr>
              <w:t>Inter-RAT</w:t>
            </w:r>
          </w:p>
        </w:tc>
        <w:tc>
          <w:tcPr>
            <w:tcW w:w="1695" w:type="dxa"/>
            <w:gridSpan w:val="3"/>
          </w:tcPr>
          <w:p w:rsidR="004A01E4" w:rsidRDefault="004A01E4" w:rsidP="002E3D0B">
            <w:pPr>
              <w:spacing w:after="0"/>
              <w:jc w:val="both"/>
              <w:rPr>
                <w:sz w:val="18"/>
                <w:szCs w:val="18"/>
              </w:rPr>
            </w:pPr>
            <w:r>
              <w:rPr>
                <w:sz w:val="18"/>
                <w:szCs w:val="18"/>
              </w:rPr>
              <w:t>N/A</w:t>
            </w:r>
          </w:p>
        </w:tc>
        <w:tc>
          <w:tcPr>
            <w:tcW w:w="1585" w:type="dxa"/>
          </w:tcPr>
          <w:p w:rsidR="004A01E4" w:rsidRDefault="004A01E4" w:rsidP="002E3D0B">
            <w:pPr>
              <w:spacing w:after="0"/>
              <w:jc w:val="both"/>
              <w:rPr>
                <w:sz w:val="18"/>
                <w:szCs w:val="18"/>
              </w:rPr>
            </w:pPr>
            <w:r>
              <w:rPr>
                <w:sz w:val="18"/>
                <w:szCs w:val="18"/>
              </w:rPr>
              <w:t>N/A</w:t>
            </w:r>
          </w:p>
        </w:tc>
        <w:tc>
          <w:tcPr>
            <w:tcW w:w="1560" w:type="dxa"/>
          </w:tcPr>
          <w:p w:rsidR="004A01E4" w:rsidRDefault="004A01E4" w:rsidP="002E3D0B">
            <w:pPr>
              <w:spacing w:after="0"/>
              <w:jc w:val="both"/>
              <w:rPr>
                <w:sz w:val="18"/>
                <w:szCs w:val="18"/>
              </w:rPr>
            </w:pPr>
            <w:r>
              <w:rPr>
                <w:sz w:val="18"/>
                <w:szCs w:val="18"/>
              </w:rPr>
              <w:t>Yes</w:t>
            </w:r>
          </w:p>
        </w:tc>
      </w:tr>
      <w:tr w:rsidR="004A01E4" w:rsidRPr="007F1EF5" w:rsidTr="002E3D0B">
        <w:tc>
          <w:tcPr>
            <w:tcW w:w="2645" w:type="dxa"/>
            <w:shd w:val="clear" w:color="auto" w:fill="auto"/>
          </w:tcPr>
          <w:p w:rsidR="004A01E4" w:rsidRDefault="004A01E4" w:rsidP="002E3D0B">
            <w:pPr>
              <w:jc w:val="both"/>
              <w:rPr>
                <w:color w:val="000000"/>
                <w:sz w:val="18"/>
                <w:szCs w:val="18"/>
              </w:rPr>
            </w:pPr>
            <w:r>
              <w:rPr>
                <w:color w:val="000000"/>
                <w:sz w:val="18"/>
                <w:szCs w:val="18"/>
              </w:rPr>
              <w:t>Handover</w:t>
            </w:r>
          </w:p>
        </w:tc>
        <w:tc>
          <w:tcPr>
            <w:tcW w:w="3255" w:type="dxa"/>
            <w:shd w:val="clear" w:color="auto" w:fill="auto"/>
          </w:tcPr>
          <w:p w:rsidR="004A01E4" w:rsidRPr="008E54E5" w:rsidRDefault="004A01E4" w:rsidP="002E3D0B">
            <w:pPr>
              <w:spacing w:after="0"/>
              <w:jc w:val="both"/>
              <w:rPr>
                <w:sz w:val="18"/>
                <w:szCs w:val="18"/>
              </w:rPr>
            </w:pPr>
          </w:p>
        </w:tc>
        <w:tc>
          <w:tcPr>
            <w:tcW w:w="1695" w:type="dxa"/>
            <w:gridSpan w:val="3"/>
          </w:tcPr>
          <w:p w:rsidR="004A01E4" w:rsidRDefault="004A01E4" w:rsidP="002E3D0B">
            <w:pPr>
              <w:spacing w:after="0"/>
              <w:jc w:val="both"/>
              <w:rPr>
                <w:sz w:val="18"/>
                <w:szCs w:val="18"/>
              </w:rPr>
            </w:pPr>
            <w:r>
              <w:rPr>
                <w:sz w:val="18"/>
                <w:szCs w:val="18"/>
              </w:rPr>
              <w:t>N/A</w:t>
            </w:r>
          </w:p>
        </w:tc>
        <w:tc>
          <w:tcPr>
            <w:tcW w:w="1585" w:type="dxa"/>
          </w:tcPr>
          <w:p w:rsidR="004A01E4" w:rsidRDefault="004A01E4" w:rsidP="002E3D0B">
            <w:pPr>
              <w:spacing w:after="0"/>
              <w:jc w:val="both"/>
              <w:rPr>
                <w:sz w:val="18"/>
                <w:szCs w:val="18"/>
              </w:rPr>
            </w:pPr>
            <w:r>
              <w:rPr>
                <w:sz w:val="18"/>
                <w:szCs w:val="18"/>
              </w:rPr>
              <w:t>N/A</w:t>
            </w:r>
          </w:p>
        </w:tc>
        <w:tc>
          <w:tcPr>
            <w:tcW w:w="1560" w:type="dxa"/>
          </w:tcPr>
          <w:p w:rsidR="004A01E4" w:rsidRDefault="004A01E4" w:rsidP="004A01E4">
            <w:pPr>
              <w:numPr>
                <w:ilvl w:val="0"/>
                <w:numId w:val="41"/>
              </w:numPr>
              <w:spacing w:after="0"/>
              <w:ind w:left="82" w:hanging="142"/>
              <w:jc w:val="both"/>
              <w:rPr>
                <w:sz w:val="18"/>
                <w:szCs w:val="18"/>
              </w:rPr>
            </w:pPr>
            <w:r>
              <w:rPr>
                <w:sz w:val="18"/>
                <w:szCs w:val="18"/>
              </w:rPr>
              <w:t>HO to NR-U PCell</w:t>
            </w:r>
          </w:p>
          <w:p w:rsidR="004A01E4" w:rsidRDefault="004A01E4" w:rsidP="004A01E4">
            <w:pPr>
              <w:numPr>
                <w:ilvl w:val="0"/>
                <w:numId w:val="41"/>
              </w:numPr>
              <w:spacing w:after="0"/>
              <w:ind w:left="82" w:hanging="142"/>
              <w:jc w:val="both"/>
              <w:rPr>
                <w:sz w:val="18"/>
                <w:szCs w:val="18"/>
              </w:rPr>
            </w:pPr>
            <w:r>
              <w:rPr>
                <w:sz w:val="18"/>
                <w:szCs w:val="18"/>
              </w:rPr>
              <w:t>HO from NR-U PCell</w:t>
            </w:r>
          </w:p>
        </w:tc>
      </w:tr>
      <w:tr w:rsidR="004A01E4" w:rsidRPr="007F1EF5" w:rsidTr="002E3D0B">
        <w:trPr>
          <w:trHeight w:val="198"/>
        </w:trPr>
        <w:tc>
          <w:tcPr>
            <w:tcW w:w="2645" w:type="dxa"/>
            <w:vMerge w:val="restart"/>
            <w:shd w:val="clear" w:color="auto" w:fill="auto"/>
          </w:tcPr>
          <w:p w:rsidR="004A01E4" w:rsidRDefault="004A01E4" w:rsidP="002E3D0B">
            <w:pPr>
              <w:jc w:val="both"/>
              <w:rPr>
                <w:color w:val="000000"/>
                <w:sz w:val="18"/>
                <w:szCs w:val="18"/>
              </w:rPr>
            </w:pPr>
            <w:r>
              <w:rPr>
                <w:color w:val="000000"/>
                <w:sz w:val="18"/>
                <w:szCs w:val="18"/>
              </w:rPr>
              <w:t>RRC Connection Mobility Control</w:t>
            </w:r>
          </w:p>
        </w:tc>
        <w:tc>
          <w:tcPr>
            <w:tcW w:w="3255" w:type="dxa"/>
            <w:shd w:val="clear" w:color="auto" w:fill="auto"/>
          </w:tcPr>
          <w:p w:rsidR="004A01E4" w:rsidRPr="008E54E5" w:rsidRDefault="004A01E4" w:rsidP="002E3D0B">
            <w:pPr>
              <w:spacing w:after="0"/>
              <w:jc w:val="both"/>
              <w:rPr>
                <w:sz w:val="18"/>
                <w:szCs w:val="18"/>
              </w:rPr>
            </w:pPr>
            <w:r>
              <w:rPr>
                <w:sz w:val="18"/>
                <w:szCs w:val="18"/>
              </w:rPr>
              <w:t>RRC re-establishment</w:t>
            </w:r>
          </w:p>
        </w:tc>
        <w:tc>
          <w:tcPr>
            <w:tcW w:w="1695" w:type="dxa"/>
            <w:gridSpan w:val="3"/>
          </w:tcPr>
          <w:p w:rsidR="004A01E4" w:rsidRDefault="004A01E4" w:rsidP="002E3D0B">
            <w:pPr>
              <w:spacing w:after="0"/>
              <w:jc w:val="both"/>
              <w:rPr>
                <w:sz w:val="18"/>
                <w:szCs w:val="18"/>
              </w:rPr>
            </w:pPr>
            <w:r>
              <w:rPr>
                <w:sz w:val="18"/>
                <w:szCs w:val="18"/>
              </w:rPr>
              <w:t>N/A</w:t>
            </w:r>
          </w:p>
        </w:tc>
        <w:tc>
          <w:tcPr>
            <w:tcW w:w="1585" w:type="dxa"/>
          </w:tcPr>
          <w:p w:rsidR="004A01E4" w:rsidRDefault="004A01E4" w:rsidP="002E3D0B">
            <w:pPr>
              <w:spacing w:after="0"/>
              <w:jc w:val="both"/>
              <w:rPr>
                <w:sz w:val="18"/>
                <w:szCs w:val="18"/>
              </w:rPr>
            </w:pPr>
            <w:r>
              <w:rPr>
                <w:sz w:val="18"/>
                <w:szCs w:val="18"/>
              </w:rPr>
              <w:t>N/A</w:t>
            </w:r>
          </w:p>
        </w:tc>
        <w:tc>
          <w:tcPr>
            <w:tcW w:w="1560" w:type="dxa"/>
          </w:tcPr>
          <w:p w:rsidR="004A01E4" w:rsidRDefault="004A01E4" w:rsidP="002E3D0B">
            <w:pPr>
              <w:spacing w:after="0"/>
              <w:jc w:val="both"/>
              <w:rPr>
                <w:sz w:val="18"/>
                <w:szCs w:val="18"/>
              </w:rPr>
            </w:pPr>
            <w:r>
              <w:rPr>
                <w:sz w:val="18"/>
                <w:szCs w:val="18"/>
              </w:rPr>
              <w:t>Yes</w:t>
            </w:r>
          </w:p>
        </w:tc>
      </w:tr>
      <w:tr w:rsidR="004A01E4" w:rsidRPr="007F1EF5" w:rsidTr="002E3D0B">
        <w:trPr>
          <w:trHeight w:val="196"/>
        </w:trPr>
        <w:tc>
          <w:tcPr>
            <w:tcW w:w="2645" w:type="dxa"/>
            <w:vMerge/>
            <w:shd w:val="clear" w:color="auto" w:fill="auto"/>
          </w:tcPr>
          <w:p w:rsidR="004A01E4"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Pr>
                <w:sz w:val="18"/>
                <w:szCs w:val="18"/>
              </w:rPr>
              <w:t>RA</w:t>
            </w:r>
          </w:p>
        </w:tc>
        <w:tc>
          <w:tcPr>
            <w:tcW w:w="1695" w:type="dxa"/>
            <w:gridSpan w:val="3"/>
          </w:tcPr>
          <w:p w:rsidR="004A01E4" w:rsidRDefault="004A01E4" w:rsidP="002E3D0B">
            <w:pPr>
              <w:spacing w:after="0"/>
              <w:jc w:val="both"/>
              <w:rPr>
                <w:sz w:val="18"/>
                <w:szCs w:val="18"/>
              </w:rPr>
            </w:pPr>
            <w:r>
              <w:rPr>
                <w:sz w:val="18"/>
                <w:szCs w:val="18"/>
              </w:rPr>
              <w:t>TBD depending on other group decisions</w:t>
            </w:r>
          </w:p>
        </w:tc>
        <w:tc>
          <w:tcPr>
            <w:tcW w:w="1585" w:type="dxa"/>
          </w:tcPr>
          <w:p w:rsidR="004A01E4" w:rsidRDefault="004A01E4" w:rsidP="002E3D0B">
            <w:pPr>
              <w:spacing w:after="0"/>
              <w:jc w:val="both"/>
              <w:rPr>
                <w:sz w:val="18"/>
                <w:szCs w:val="18"/>
              </w:rPr>
            </w:pPr>
            <w:r>
              <w:rPr>
                <w:sz w:val="18"/>
                <w:szCs w:val="18"/>
              </w:rPr>
              <w:t>Yes</w:t>
            </w:r>
          </w:p>
        </w:tc>
        <w:tc>
          <w:tcPr>
            <w:tcW w:w="1560" w:type="dxa"/>
          </w:tcPr>
          <w:p w:rsidR="004A01E4" w:rsidRDefault="004A01E4" w:rsidP="002E3D0B">
            <w:pPr>
              <w:spacing w:after="0"/>
              <w:jc w:val="both"/>
              <w:rPr>
                <w:sz w:val="18"/>
                <w:szCs w:val="18"/>
              </w:rPr>
            </w:pPr>
            <w:r>
              <w:rPr>
                <w:sz w:val="18"/>
                <w:szCs w:val="18"/>
              </w:rPr>
              <w:t>Yes</w:t>
            </w:r>
          </w:p>
        </w:tc>
      </w:tr>
      <w:tr w:rsidR="004A01E4" w:rsidRPr="007F1EF5" w:rsidTr="002E3D0B">
        <w:trPr>
          <w:trHeight w:val="196"/>
        </w:trPr>
        <w:tc>
          <w:tcPr>
            <w:tcW w:w="2645" w:type="dxa"/>
            <w:vMerge/>
            <w:shd w:val="clear" w:color="auto" w:fill="auto"/>
          </w:tcPr>
          <w:p w:rsidR="004A01E4"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Pr>
                <w:sz w:val="18"/>
                <w:szCs w:val="18"/>
              </w:rPr>
              <w:t>RRC release with redirection</w:t>
            </w:r>
          </w:p>
        </w:tc>
        <w:tc>
          <w:tcPr>
            <w:tcW w:w="1695" w:type="dxa"/>
            <w:gridSpan w:val="3"/>
          </w:tcPr>
          <w:p w:rsidR="004A01E4" w:rsidRDefault="004A01E4" w:rsidP="002E3D0B">
            <w:pPr>
              <w:spacing w:after="0"/>
              <w:jc w:val="both"/>
              <w:rPr>
                <w:sz w:val="18"/>
                <w:szCs w:val="18"/>
              </w:rPr>
            </w:pPr>
            <w:r>
              <w:rPr>
                <w:sz w:val="18"/>
                <w:szCs w:val="18"/>
              </w:rPr>
              <w:t>N/A</w:t>
            </w:r>
          </w:p>
        </w:tc>
        <w:tc>
          <w:tcPr>
            <w:tcW w:w="1585" w:type="dxa"/>
          </w:tcPr>
          <w:p w:rsidR="004A01E4" w:rsidRDefault="004A01E4" w:rsidP="002E3D0B">
            <w:pPr>
              <w:spacing w:after="0"/>
              <w:jc w:val="both"/>
              <w:rPr>
                <w:sz w:val="18"/>
                <w:szCs w:val="18"/>
              </w:rPr>
            </w:pPr>
            <w:r>
              <w:rPr>
                <w:sz w:val="18"/>
                <w:szCs w:val="18"/>
              </w:rPr>
              <w:t>N/A</w:t>
            </w:r>
          </w:p>
        </w:tc>
        <w:tc>
          <w:tcPr>
            <w:tcW w:w="1560" w:type="dxa"/>
          </w:tcPr>
          <w:p w:rsidR="004A01E4" w:rsidRDefault="004A01E4" w:rsidP="002E3D0B">
            <w:pPr>
              <w:spacing w:after="0"/>
              <w:jc w:val="both"/>
              <w:rPr>
                <w:sz w:val="18"/>
                <w:szCs w:val="18"/>
              </w:rPr>
            </w:pPr>
            <w:r>
              <w:rPr>
                <w:sz w:val="18"/>
                <w:szCs w:val="18"/>
              </w:rPr>
              <w:t>Depends on RAN2 support</w:t>
            </w: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sidRPr="008E54E5">
              <w:rPr>
                <w:color w:val="000000"/>
                <w:sz w:val="18"/>
                <w:szCs w:val="18"/>
              </w:rPr>
              <w:t>SCell activation/deactivation delays</w:t>
            </w:r>
          </w:p>
        </w:tc>
        <w:tc>
          <w:tcPr>
            <w:tcW w:w="3255" w:type="dxa"/>
            <w:shd w:val="clear" w:color="auto" w:fill="auto"/>
          </w:tcPr>
          <w:p w:rsidR="004A01E4" w:rsidRPr="008E54E5" w:rsidRDefault="004A01E4" w:rsidP="002E3D0B">
            <w:pPr>
              <w:spacing w:after="0"/>
              <w:jc w:val="both"/>
              <w:rPr>
                <w:sz w:val="18"/>
                <w:szCs w:val="18"/>
              </w:rPr>
            </w:pPr>
          </w:p>
        </w:tc>
        <w:tc>
          <w:tcPr>
            <w:tcW w:w="1695" w:type="dxa"/>
            <w:gridSpan w:val="3"/>
          </w:tcPr>
          <w:p w:rsidR="004A01E4" w:rsidRPr="008E54E5" w:rsidRDefault="004A01E4" w:rsidP="002E3D0B">
            <w:pPr>
              <w:spacing w:after="0"/>
              <w:jc w:val="both"/>
              <w:rPr>
                <w:sz w:val="18"/>
                <w:szCs w:val="18"/>
              </w:rPr>
            </w:pPr>
            <w:r>
              <w:rPr>
                <w:sz w:val="18"/>
                <w:szCs w:val="18"/>
              </w:rPr>
              <w:t>Yes</w:t>
            </w:r>
          </w:p>
        </w:tc>
        <w:tc>
          <w:tcPr>
            <w:tcW w:w="1585" w:type="dxa"/>
          </w:tcPr>
          <w:p w:rsidR="004A01E4" w:rsidRPr="008E54E5" w:rsidRDefault="004A01E4" w:rsidP="002E3D0B">
            <w:pPr>
              <w:spacing w:after="0"/>
              <w:jc w:val="both"/>
              <w:rPr>
                <w:sz w:val="18"/>
                <w:szCs w:val="18"/>
              </w:rPr>
            </w:pPr>
            <w:r>
              <w:rPr>
                <w:sz w:val="18"/>
                <w:szCs w:val="18"/>
              </w:rPr>
              <w:t>N/A</w:t>
            </w:r>
            <w:r w:rsidRPr="005A3C45">
              <w:rPr>
                <w:sz w:val="18"/>
                <w:szCs w:val="18"/>
                <w:vertAlign w:val="superscript"/>
              </w:rPr>
              <w:t xml:space="preserve"> Note 2</w:t>
            </w:r>
          </w:p>
        </w:tc>
        <w:tc>
          <w:tcPr>
            <w:tcW w:w="1560" w:type="dxa"/>
          </w:tcPr>
          <w:p w:rsidR="004A01E4" w:rsidRPr="008E54E5" w:rsidRDefault="004A01E4" w:rsidP="002E3D0B">
            <w:pPr>
              <w:spacing w:after="0"/>
              <w:jc w:val="both"/>
              <w:rPr>
                <w:sz w:val="18"/>
                <w:szCs w:val="18"/>
              </w:rPr>
            </w:pPr>
            <w:r>
              <w:rPr>
                <w:sz w:val="18"/>
                <w:szCs w:val="18"/>
              </w:rPr>
              <w:t>N/A</w:t>
            </w:r>
            <w:r w:rsidRPr="005A3C45">
              <w:rPr>
                <w:sz w:val="18"/>
                <w:szCs w:val="18"/>
                <w:vertAlign w:val="superscript"/>
              </w:rPr>
              <w:t>Note 2</w:t>
            </w: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sidRPr="008E54E5">
              <w:rPr>
                <w:color w:val="000000"/>
                <w:sz w:val="18"/>
                <w:szCs w:val="18"/>
              </w:rPr>
              <w:t xml:space="preserve">Interruptions related to </w:t>
            </w:r>
            <w:r>
              <w:rPr>
                <w:color w:val="000000"/>
                <w:sz w:val="18"/>
                <w:szCs w:val="18"/>
              </w:rPr>
              <w:t xml:space="preserve">NR-U </w:t>
            </w:r>
            <w:r w:rsidRPr="008E54E5">
              <w:rPr>
                <w:color w:val="000000"/>
                <w:sz w:val="18"/>
                <w:szCs w:val="18"/>
              </w:rPr>
              <w:t>SCells addition, release, activation, deactivation</w:t>
            </w:r>
          </w:p>
        </w:tc>
        <w:tc>
          <w:tcPr>
            <w:tcW w:w="3255" w:type="dxa"/>
            <w:shd w:val="clear" w:color="auto" w:fill="auto"/>
          </w:tcPr>
          <w:p w:rsidR="004A01E4" w:rsidRPr="008E54E5" w:rsidRDefault="004A01E4" w:rsidP="004A01E4">
            <w:pPr>
              <w:numPr>
                <w:ilvl w:val="0"/>
                <w:numId w:val="40"/>
              </w:numPr>
              <w:spacing w:after="0"/>
              <w:ind w:left="321" w:hanging="283"/>
              <w:jc w:val="both"/>
              <w:rPr>
                <w:sz w:val="18"/>
                <w:szCs w:val="18"/>
                <w:lang w:eastAsia="x-none"/>
              </w:rPr>
            </w:pPr>
            <w:r w:rsidRPr="008E54E5">
              <w:rPr>
                <w:sz w:val="18"/>
                <w:szCs w:val="18"/>
                <w:lang w:eastAsia="x-none"/>
              </w:rPr>
              <w:t xml:space="preserve">Interruptions on </w:t>
            </w:r>
            <w:r>
              <w:rPr>
                <w:sz w:val="18"/>
                <w:szCs w:val="18"/>
                <w:lang w:eastAsia="x-none"/>
              </w:rPr>
              <w:t>serving cells</w:t>
            </w:r>
            <w:r w:rsidRPr="008E54E5">
              <w:rPr>
                <w:sz w:val="18"/>
                <w:szCs w:val="18"/>
                <w:lang w:eastAsia="x-none"/>
              </w:rPr>
              <w:t xml:space="preserve"> due to any of the addition, release, activation, or deactivation procedures for an NR-U SCell,</w:t>
            </w:r>
          </w:p>
          <w:p w:rsidR="004A01E4" w:rsidRPr="008E54E5" w:rsidRDefault="004A01E4" w:rsidP="004A01E4">
            <w:pPr>
              <w:numPr>
                <w:ilvl w:val="0"/>
                <w:numId w:val="40"/>
              </w:numPr>
              <w:spacing w:after="0"/>
              <w:ind w:left="321" w:hanging="283"/>
              <w:jc w:val="both"/>
              <w:rPr>
                <w:sz w:val="18"/>
                <w:szCs w:val="18"/>
              </w:rPr>
            </w:pPr>
            <w:r w:rsidRPr="008E54E5">
              <w:rPr>
                <w:sz w:val="18"/>
                <w:szCs w:val="18"/>
              </w:rPr>
              <w:t xml:space="preserve">Interruptions </w:t>
            </w:r>
            <w:r>
              <w:rPr>
                <w:sz w:val="18"/>
                <w:szCs w:val="18"/>
              </w:rPr>
              <w:t xml:space="preserve">on serving cells </w:t>
            </w:r>
            <w:r w:rsidRPr="008E54E5">
              <w:rPr>
                <w:sz w:val="18"/>
                <w:szCs w:val="18"/>
              </w:rPr>
              <w:t>due to measurements on S</w:t>
            </w:r>
            <w:r>
              <w:rPr>
                <w:sz w:val="18"/>
                <w:szCs w:val="18"/>
              </w:rPr>
              <w:t>CC with deactivated NR-U SCell</w:t>
            </w:r>
            <w:r w:rsidRPr="008E54E5">
              <w:rPr>
                <w:sz w:val="18"/>
                <w:szCs w:val="18"/>
              </w:rPr>
              <w:t>.</w:t>
            </w:r>
          </w:p>
        </w:tc>
        <w:tc>
          <w:tcPr>
            <w:tcW w:w="1695" w:type="dxa"/>
            <w:gridSpan w:val="3"/>
          </w:tcPr>
          <w:p w:rsidR="004A01E4" w:rsidRPr="008E54E5" w:rsidRDefault="004A01E4" w:rsidP="002E3D0B">
            <w:pPr>
              <w:spacing w:after="0"/>
              <w:ind w:left="38"/>
              <w:jc w:val="both"/>
              <w:rPr>
                <w:sz w:val="18"/>
                <w:szCs w:val="18"/>
                <w:lang w:eastAsia="x-none"/>
              </w:rPr>
            </w:pPr>
            <w:r>
              <w:rPr>
                <w:sz w:val="18"/>
                <w:szCs w:val="18"/>
                <w:lang w:eastAsia="x-none"/>
              </w:rPr>
              <w:t>Interruptions on other serving cells</w:t>
            </w:r>
          </w:p>
        </w:tc>
        <w:tc>
          <w:tcPr>
            <w:tcW w:w="1585" w:type="dxa"/>
          </w:tcPr>
          <w:p w:rsidR="004A01E4" w:rsidRPr="008E54E5" w:rsidRDefault="004A01E4" w:rsidP="002E3D0B">
            <w:pPr>
              <w:spacing w:after="0"/>
              <w:ind w:left="38"/>
              <w:jc w:val="both"/>
              <w:rPr>
                <w:sz w:val="18"/>
                <w:szCs w:val="18"/>
                <w:lang w:eastAsia="x-none"/>
              </w:rPr>
            </w:pPr>
            <w:r>
              <w:rPr>
                <w:sz w:val="18"/>
                <w:szCs w:val="18"/>
                <w:lang w:eastAsia="x-none"/>
              </w:rPr>
              <w:t>N/A</w:t>
            </w:r>
            <w:r w:rsidRPr="005A3C45">
              <w:rPr>
                <w:sz w:val="18"/>
                <w:szCs w:val="18"/>
                <w:vertAlign w:val="superscript"/>
              </w:rPr>
              <w:t xml:space="preserve"> Note 2</w:t>
            </w:r>
          </w:p>
        </w:tc>
        <w:tc>
          <w:tcPr>
            <w:tcW w:w="1560" w:type="dxa"/>
          </w:tcPr>
          <w:p w:rsidR="004A01E4" w:rsidRPr="008E54E5" w:rsidRDefault="004A01E4" w:rsidP="002E3D0B">
            <w:pPr>
              <w:spacing w:after="0"/>
              <w:jc w:val="both"/>
              <w:rPr>
                <w:sz w:val="18"/>
                <w:szCs w:val="18"/>
                <w:lang w:eastAsia="x-none"/>
              </w:rPr>
            </w:pPr>
            <w:r>
              <w:rPr>
                <w:sz w:val="18"/>
                <w:szCs w:val="18"/>
                <w:lang w:eastAsia="x-none"/>
              </w:rPr>
              <w:t>N/A</w:t>
            </w:r>
            <w:r w:rsidRPr="005A3C45">
              <w:rPr>
                <w:sz w:val="18"/>
                <w:szCs w:val="18"/>
                <w:vertAlign w:val="superscript"/>
                <w:lang w:eastAsia="x-none"/>
              </w:rPr>
              <w:t>Note 2</w:t>
            </w: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Pr>
                <w:color w:val="000000"/>
                <w:sz w:val="18"/>
                <w:szCs w:val="18"/>
              </w:rPr>
              <w:t>PSCell addition/release delays</w:t>
            </w:r>
          </w:p>
        </w:tc>
        <w:tc>
          <w:tcPr>
            <w:tcW w:w="3255" w:type="dxa"/>
            <w:shd w:val="clear" w:color="auto" w:fill="auto"/>
          </w:tcPr>
          <w:p w:rsidR="004A01E4" w:rsidRPr="008E54E5" w:rsidRDefault="004A01E4" w:rsidP="002E3D0B">
            <w:pPr>
              <w:spacing w:after="0"/>
              <w:jc w:val="both"/>
              <w:rPr>
                <w:sz w:val="18"/>
                <w:szCs w:val="18"/>
                <w:lang w:eastAsia="x-none"/>
              </w:rPr>
            </w:pPr>
          </w:p>
        </w:tc>
        <w:tc>
          <w:tcPr>
            <w:tcW w:w="1695" w:type="dxa"/>
            <w:gridSpan w:val="3"/>
          </w:tcPr>
          <w:p w:rsidR="004A01E4" w:rsidRDefault="004A01E4" w:rsidP="002E3D0B">
            <w:pPr>
              <w:spacing w:after="0"/>
              <w:ind w:left="38"/>
              <w:jc w:val="both"/>
              <w:rPr>
                <w:sz w:val="18"/>
                <w:szCs w:val="18"/>
                <w:lang w:eastAsia="x-none"/>
              </w:rPr>
            </w:pPr>
            <w:r>
              <w:rPr>
                <w:sz w:val="18"/>
                <w:szCs w:val="18"/>
                <w:lang w:eastAsia="x-none"/>
              </w:rPr>
              <w:t>N/A</w:t>
            </w:r>
          </w:p>
        </w:tc>
        <w:tc>
          <w:tcPr>
            <w:tcW w:w="1585" w:type="dxa"/>
          </w:tcPr>
          <w:p w:rsidR="004A01E4" w:rsidRDefault="004A01E4" w:rsidP="002E3D0B">
            <w:pPr>
              <w:spacing w:after="0"/>
              <w:ind w:left="38"/>
              <w:jc w:val="both"/>
              <w:rPr>
                <w:sz w:val="18"/>
                <w:szCs w:val="18"/>
                <w:lang w:eastAsia="x-none"/>
              </w:rPr>
            </w:pPr>
            <w:r>
              <w:rPr>
                <w:sz w:val="18"/>
                <w:szCs w:val="18"/>
                <w:lang w:eastAsia="x-none"/>
              </w:rPr>
              <w:t>Yes</w:t>
            </w:r>
          </w:p>
        </w:tc>
        <w:tc>
          <w:tcPr>
            <w:tcW w:w="1560" w:type="dxa"/>
          </w:tcPr>
          <w:p w:rsidR="004A01E4" w:rsidRDefault="004A01E4" w:rsidP="002E3D0B">
            <w:pPr>
              <w:spacing w:after="0"/>
              <w:jc w:val="both"/>
              <w:rPr>
                <w:sz w:val="18"/>
                <w:szCs w:val="18"/>
                <w:lang w:eastAsia="x-none"/>
              </w:rPr>
            </w:pPr>
            <w:r>
              <w:rPr>
                <w:sz w:val="18"/>
                <w:szCs w:val="18"/>
                <w:lang w:eastAsia="x-none"/>
              </w:rPr>
              <w:t>N/A</w:t>
            </w:r>
          </w:p>
        </w:tc>
      </w:tr>
      <w:tr w:rsidR="004A01E4" w:rsidRPr="007F1EF5" w:rsidTr="002E3D0B">
        <w:tc>
          <w:tcPr>
            <w:tcW w:w="2645" w:type="dxa"/>
            <w:shd w:val="clear" w:color="auto" w:fill="auto"/>
          </w:tcPr>
          <w:p w:rsidR="004A01E4" w:rsidRDefault="004A01E4" w:rsidP="002E3D0B">
            <w:pPr>
              <w:jc w:val="both"/>
              <w:rPr>
                <w:color w:val="000000"/>
                <w:sz w:val="18"/>
                <w:szCs w:val="18"/>
              </w:rPr>
            </w:pPr>
            <w:r>
              <w:rPr>
                <w:color w:val="000000"/>
                <w:sz w:val="18"/>
                <w:szCs w:val="18"/>
              </w:rPr>
              <w:t>Interruptions due to NR-U PSCell addition/release</w:t>
            </w:r>
          </w:p>
        </w:tc>
        <w:tc>
          <w:tcPr>
            <w:tcW w:w="3255" w:type="dxa"/>
            <w:shd w:val="clear" w:color="auto" w:fill="auto"/>
          </w:tcPr>
          <w:p w:rsidR="004A01E4" w:rsidRPr="002866C7" w:rsidRDefault="004A01E4" w:rsidP="002E3D0B">
            <w:pPr>
              <w:spacing w:after="0"/>
              <w:jc w:val="both"/>
              <w:rPr>
                <w:sz w:val="18"/>
                <w:szCs w:val="18"/>
                <w:lang w:eastAsia="x-none"/>
              </w:rPr>
            </w:pPr>
            <w:r w:rsidRPr="008E54E5">
              <w:rPr>
                <w:sz w:val="18"/>
                <w:szCs w:val="18"/>
                <w:lang w:eastAsia="x-none"/>
              </w:rPr>
              <w:t xml:space="preserve">Interruptions on </w:t>
            </w:r>
            <w:r>
              <w:rPr>
                <w:sz w:val="18"/>
                <w:szCs w:val="18"/>
                <w:lang w:eastAsia="x-none"/>
              </w:rPr>
              <w:t>serving cells</w:t>
            </w:r>
            <w:r w:rsidRPr="008E54E5">
              <w:rPr>
                <w:sz w:val="18"/>
                <w:szCs w:val="18"/>
                <w:lang w:eastAsia="x-none"/>
              </w:rPr>
              <w:t xml:space="preserve"> due to addition</w:t>
            </w:r>
            <w:r>
              <w:rPr>
                <w:sz w:val="18"/>
                <w:szCs w:val="18"/>
                <w:lang w:eastAsia="x-none"/>
              </w:rPr>
              <w:t xml:space="preserve"> or</w:t>
            </w:r>
            <w:r w:rsidRPr="008E54E5">
              <w:rPr>
                <w:sz w:val="18"/>
                <w:szCs w:val="18"/>
                <w:lang w:eastAsia="x-none"/>
              </w:rPr>
              <w:t xml:space="preserve"> release</w:t>
            </w:r>
            <w:r>
              <w:rPr>
                <w:sz w:val="18"/>
                <w:szCs w:val="18"/>
                <w:lang w:eastAsia="x-none"/>
              </w:rPr>
              <w:t xml:space="preserve"> of</w:t>
            </w:r>
            <w:r w:rsidRPr="008E54E5">
              <w:rPr>
                <w:sz w:val="18"/>
                <w:szCs w:val="18"/>
                <w:lang w:eastAsia="x-none"/>
              </w:rPr>
              <w:t xml:space="preserve"> NR-U </w:t>
            </w:r>
            <w:r>
              <w:rPr>
                <w:sz w:val="18"/>
                <w:szCs w:val="18"/>
                <w:lang w:eastAsia="x-none"/>
              </w:rPr>
              <w:t>P</w:t>
            </w:r>
            <w:r w:rsidRPr="008E54E5">
              <w:rPr>
                <w:sz w:val="18"/>
                <w:szCs w:val="18"/>
                <w:lang w:eastAsia="x-none"/>
              </w:rPr>
              <w:t>SCell</w:t>
            </w:r>
          </w:p>
        </w:tc>
        <w:tc>
          <w:tcPr>
            <w:tcW w:w="1695" w:type="dxa"/>
            <w:gridSpan w:val="3"/>
          </w:tcPr>
          <w:p w:rsidR="004A01E4" w:rsidRDefault="004A01E4" w:rsidP="002E3D0B">
            <w:pPr>
              <w:spacing w:after="0"/>
              <w:ind w:left="38"/>
              <w:jc w:val="both"/>
              <w:rPr>
                <w:sz w:val="18"/>
                <w:szCs w:val="18"/>
                <w:lang w:eastAsia="x-none"/>
              </w:rPr>
            </w:pPr>
            <w:r>
              <w:rPr>
                <w:sz w:val="18"/>
                <w:szCs w:val="18"/>
                <w:lang w:eastAsia="x-none"/>
              </w:rPr>
              <w:t>N/A</w:t>
            </w:r>
          </w:p>
        </w:tc>
        <w:tc>
          <w:tcPr>
            <w:tcW w:w="1585" w:type="dxa"/>
          </w:tcPr>
          <w:p w:rsidR="004A01E4" w:rsidRDefault="004A01E4" w:rsidP="002E3D0B">
            <w:pPr>
              <w:spacing w:after="0"/>
              <w:ind w:left="38"/>
              <w:jc w:val="both"/>
              <w:rPr>
                <w:sz w:val="18"/>
                <w:szCs w:val="18"/>
                <w:lang w:eastAsia="x-none"/>
              </w:rPr>
            </w:pPr>
            <w:r>
              <w:rPr>
                <w:sz w:val="18"/>
                <w:szCs w:val="18"/>
                <w:lang w:eastAsia="x-none"/>
              </w:rPr>
              <w:t>Yes</w:t>
            </w:r>
          </w:p>
        </w:tc>
        <w:tc>
          <w:tcPr>
            <w:tcW w:w="1560" w:type="dxa"/>
          </w:tcPr>
          <w:p w:rsidR="004A01E4" w:rsidRDefault="004A01E4" w:rsidP="002E3D0B">
            <w:pPr>
              <w:spacing w:after="0"/>
              <w:jc w:val="both"/>
              <w:rPr>
                <w:sz w:val="18"/>
                <w:szCs w:val="18"/>
                <w:lang w:eastAsia="x-none"/>
              </w:rPr>
            </w:pPr>
            <w:r>
              <w:rPr>
                <w:sz w:val="18"/>
                <w:szCs w:val="18"/>
                <w:lang w:eastAsia="x-none"/>
              </w:rPr>
              <w:t>N/A</w:t>
            </w:r>
          </w:p>
        </w:tc>
      </w:tr>
      <w:tr w:rsidR="004A01E4" w:rsidRPr="007F1EF5" w:rsidTr="002E3D0B">
        <w:tc>
          <w:tcPr>
            <w:tcW w:w="2645" w:type="dxa"/>
            <w:shd w:val="clear" w:color="auto" w:fill="auto"/>
          </w:tcPr>
          <w:p w:rsidR="004A01E4" w:rsidRDefault="004A01E4" w:rsidP="002E3D0B">
            <w:pPr>
              <w:jc w:val="both"/>
              <w:rPr>
                <w:color w:val="000000"/>
                <w:sz w:val="18"/>
                <w:szCs w:val="18"/>
              </w:rPr>
            </w:pPr>
            <w:r>
              <w:rPr>
                <w:color w:val="000000"/>
                <w:sz w:val="18"/>
                <w:szCs w:val="18"/>
              </w:rPr>
              <w:t>Interruptions due to operation in non-NR-U serving cell</w:t>
            </w:r>
          </w:p>
        </w:tc>
        <w:tc>
          <w:tcPr>
            <w:tcW w:w="3255" w:type="dxa"/>
            <w:shd w:val="clear" w:color="auto" w:fill="auto"/>
          </w:tcPr>
          <w:p w:rsidR="004A01E4" w:rsidRPr="008E54E5" w:rsidRDefault="004A01E4" w:rsidP="002E3D0B">
            <w:pPr>
              <w:spacing w:after="0"/>
              <w:jc w:val="both"/>
              <w:rPr>
                <w:sz w:val="18"/>
                <w:szCs w:val="18"/>
                <w:lang w:eastAsia="x-none"/>
              </w:rPr>
            </w:pPr>
          </w:p>
        </w:tc>
        <w:tc>
          <w:tcPr>
            <w:tcW w:w="1695" w:type="dxa"/>
            <w:gridSpan w:val="3"/>
          </w:tcPr>
          <w:p w:rsidR="004A01E4" w:rsidRDefault="004A01E4" w:rsidP="002E3D0B">
            <w:pPr>
              <w:spacing w:after="0"/>
              <w:ind w:left="38"/>
              <w:jc w:val="both"/>
              <w:rPr>
                <w:sz w:val="18"/>
                <w:szCs w:val="18"/>
                <w:lang w:eastAsia="x-none"/>
              </w:rPr>
            </w:pPr>
            <w:r>
              <w:rPr>
                <w:sz w:val="18"/>
                <w:szCs w:val="18"/>
                <w:lang w:eastAsia="x-none"/>
              </w:rPr>
              <w:t>Yes, due to some NR PCell operations</w:t>
            </w:r>
          </w:p>
        </w:tc>
        <w:tc>
          <w:tcPr>
            <w:tcW w:w="1585" w:type="dxa"/>
          </w:tcPr>
          <w:p w:rsidR="004A01E4" w:rsidRDefault="004A01E4" w:rsidP="002E3D0B">
            <w:pPr>
              <w:spacing w:after="0"/>
              <w:ind w:left="38"/>
              <w:jc w:val="both"/>
              <w:rPr>
                <w:sz w:val="18"/>
                <w:szCs w:val="18"/>
                <w:lang w:eastAsia="x-none"/>
              </w:rPr>
            </w:pPr>
            <w:r>
              <w:rPr>
                <w:sz w:val="18"/>
                <w:szCs w:val="18"/>
                <w:lang w:eastAsia="x-none"/>
              </w:rPr>
              <w:t>Yes, due to some LTE PCell operations</w:t>
            </w:r>
          </w:p>
        </w:tc>
        <w:tc>
          <w:tcPr>
            <w:tcW w:w="1560" w:type="dxa"/>
          </w:tcPr>
          <w:p w:rsidR="004A01E4" w:rsidRDefault="004A01E4" w:rsidP="002E3D0B">
            <w:pPr>
              <w:spacing w:after="0"/>
              <w:jc w:val="both"/>
              <w:rPr>
                <w:sz w:val="18"/>
                <w:szCs w:val="18"/>
                <w:lang w:eastAsia="x-none"/>
              </w:rPr>
            </w:pPr>
            <w:r>
              <w:rPr>
                <w:sz w:val="18"/>
                <w:szCs w:val="18"/>
                <w:lang w:eastAsia="x-none"/>
              </w:rPr>
              <w:t>N/A</w:t>
            </w:r>
          </w:p>
        </w:tc>
      </w:tr>
      <w:tr w:rsidR="004A01E4" w:rsidRPr="007F1EF5" w:rsidTr="002E3D0B">
        <w:trPr>
          <w:trHeight w:val="295"/>
        </w:trPr>
        <w:tc>
          <w:tcPr>
            <w:tcW w:w="2645" w:type="dxa"/>
            <w:vMerge w:val="restart"/>
            <w:shd w:val="clear" w:color="auto" w:fill="auto"/>
          </w:tcPr>
          <w:p w:rsidR="004A01E4" w:rsidRPr="00624D7E" w:rsidRDefault="004A01E4" w:rsidP="002E3D0B">
            <w:pPr>
              <w:jc w:val="both"/>
              <w:rPr>
                <w:color w:val="000000"/>
                <w:sz w:val="18"/>
                <w:szCs w:val="18"/>
              </w:rPr>
            </w:pPr>
            <w:r w:rsidRPr="00624D7E">
              <w:rPr>
                <w:color w:val="000000"/>
                <w:sz w:val="18"/>
                <w:szCs w:val="18"/>
              </w:rPr>
              <w:t>Active BWP switching</w:t>
            </w:r>
          </w:p>
        </w:tc>
        <w:tc>
          <w:tcPr>
            <w:tcW w:w="3255" w:type="dxa"/>
            <w:shd w:val="clear" w:color="auto" w:fill="auto"/>
          </w:tcPr>
          <w:p w:rsidR="004A01E4" w:rsidRPr="00624D7E" w:rsidRDefault="004A01E4" w:rsidP="002E3D0B">
            <w:pPr>
              <w:spacing w:after="0"/>
              <w:jc w:val="both"/>
              <w:rPr>
                <w:sz w:val="18"/>
                <w:szCs w:val="18"/>
                <w:lang w:eastAsia="x-none"/>
              </w:rPr>
            </w:pPr>
            <w:r w:rsidRPr="00624D7E">
              <w:rPr>
                <w:sz w:val="18"/>
                <w:szCs w:val="18"/>
                <w:lang w:eastAsia="x-none"/>
              </w:rPr>
              <w:t xml:space="preserve">Interruptions at </w:t>
            </w:r>
            <w:r w:rsidRPr="00624D7E">
              <w:rPr>
                <w:sz w:val="18"/>
                <w:szCs w:val="18"/>
              </w:rPr>
              <w:t>a</w:t>
            </w:r>
            <w:r w:rsidRPr="00624D7E">
              <w:rPr>
                <w:color w:val="000000"/>
                <w:sz w:val="18"/>
                <w:szCs w:val="18"/>
              </w:rPr>
              <w:t>ctive BWP switching</w:t>
            </w:r>
          </w:p>
        </w:tc>
        <w:tc>
          <w:tcPr>
            <w:tcW w:w="1695" w:type="dxa"/>
            <w:gridSpan w:val="3"/>
          </w:tcPr>
          <w:p w:rsidR="004A01E4" w:rsidRPr="00624D7E" w:rsidRDefault="004A01E4" w:rsidP="002E3D0B">
            <w:pPr>
              <w:spacing w:after="0"/>
              <w:ind w:left="38"/>
              <w:jc w:val="both"/>
              <w:rPr>
                <w:sz w:val="18"/>
                <w:szCs w:val="18"/>
                <w:lang w:eastAsia="x-none"/>
              </w:rPr>
            </w:pPr>
            <w:r w:rsidRPr="00624D7E">
              <w:rPr>
                <w:sz w:val="18"/>
                <w:szCs w:val="18"/>
                <w:lang w:eastAsia="x-none"/>
              </w:rPr>
              <w:t>Yes</w:t>
            </w:r>
          </w:p>
        </w:tc>
        <w:tc>
          <w:tcPr>
            <w:tcW w:w="1585" w:type="dxa"/>
          </w:tcPr>
          <w:p w:rsidR="004A01E4" w:rsidRPr="00624D7E" w:rsidRDefault="004A01E4" w:rsidP="002E3D0B">
            <w:pPr>
              <w:spacing w:after="0"/>
              <w:ind w:left="38"/>
              <w:jc w:val="both"/>
              <w:rPr>
                <w:sz w:val="18"/>
                <w:szCs w:val="18"/>
                <w:lang w:eastAsia="x-none"/>
              </w:rPr>
            </w:pPr>
            <w:r w:rsidRPr="00624D7E">
              <w:rPr>
                <w:sz w:val="18"/>
                <w:szCs w:val="18"/>
                <w:lang w:eastAsia="x-none"/>
              </w:rPr>
              <w:t>Yes</w:t>
            </w:r>
          </w:p>
        </w:tc>
        <w:tc>
          <w:tcPr>
            <w:tcW w:w="1560" w:type="dxa"/>
          </w:tcPr>
          <w:p w:rsidR="004A01E4" w:rsidRPr="00624D7E" w:rsidRDefault="004A01E4" w:rsidP="002E3D0B">
            <w:pPr>
              <w:spacing w:after="0"/>
              <w:jc w:val="both"/>
              <w:rPr>
                <w:sz w:val="18"/>
                <w:szCs w:val="18"/>
                <w:lang w:eastAsia="x-none"/>
              </w:rPr>
            </w:pPr>
            <w:r w:rsidRPr="00624D7E">
              <w:rPr>
                <w:sz w:val="18"/>
                <w:szCs w:val="18"/>
                <w:lang w:eastAsia="x-none"/>
              </w:rPr>
              <w:t>Yes</w:t>
            </w:r>
          </w:p>
        </w:tc>
      </w:tr>
      <w:tr w:rsidR="004A01E4" w:rsidRPr="007F1EF5" w:rsidTr="002E3D0B">
        <w:trPr>
          <w:trHeight w:val="295"/>
        </w:trPr>
        <w:tc>
          <w:tcPr>
            <w:tcW w:w="2645" w:type="dxa"/>
            <w:vMerge/>
            <w:shd w:val="clear" w:color="auto" w:fill="auto"/>
          </w:tcPr>
          <w:p w:rsidR="004A01E4" w:rsidRPr="00624D7E" w:rsidRDefault="004A01E4" w:rsidP="002E3D0B">
            <w:pPr>
              <w:jc w:val="both"/>
              <w:rPr>
                <w:color w:val="000000"/>
                <w:sz w:val="18"/>
                <w:szCs w:val="18"/>
              </w:rPr>
            </w:pPr>
          </w:p>
        </w:tc>
        <w:tc>
          <w:tcPr>
            <w:tcW w:w="3255" w:type="dxa"/>
            <w:shd w:val="clear" w:color="auto" w:fill="auto"/>
          </w:tcPr>
          <w:p w:rsidR="004A01E4" w:rsidRPr="00624D7E" w:rsidRDefault="004A01E4" w:rsidP="002E3D0B">
            <w:pPr>
              <w:spacing w:after="0"/>
              <w:jc w:val="both"/>
              <w:rPr>
                <w:sz w:val="18"/>
                <w:szCs w:val="18"/>
                <w:lang w:eastAsia="x-none"/>
              </w:rPr>
            </w:pPr>
            <w:r w:rsidRPr="00624D7E">
              <w:rPr>
                <w:sz w:val="18"/>
                <w:szCs w:val="18"/>
                <w:lang w:eastAsia="x-none"/>
              </w:rPr>
              <w:t>Active BWP switching delay</w:t>
            </w:r>
          </w:p>
        </w:tc>
        <w:tc>
          <w:tcPr>
            <w:tcW w:w="1695" w:type="dxa"/>
            <w:gridSpan w:val="3"/>
          </w:tcPr>
          <w:p w:rsidR="004A01E4" w:rsidRPr="00624D7E" w:rsidRDefault="004A01E4" w:rsidP="002E3D0B">
            <w:pPr>
              <w:spacing w:after="0"/>
              <w:ind w:left="38"/>
              <w:jc w:val="both"/>
              <w:rPr>
                <w:sz w:val="18"/>
                <w:szCs w:val="18"/>
                <w:lang w:eastAsia="x-none"/>
              </w:rPr>
            </w:pPr>
            <w:r w:rsidRPr="00624D7E">
              <w:rPr>
                <w:sz w:val="18"/>
                <w:szCs w:val="18"/>
                <w:lang w:eastAsia="x-none"/>
              </w:rPr>
              <w:t>Requirement is needed, TBD whether it is same or different from Rel-15 NR</w:t>
            </w:r>
          </w:p>
        </w:tc>
        <w:tc>
          <w:tcPr>
            <w:tcW w:w="1585" w:type="dxa"/>
          </w:tcPr>
          <w:p w:rsidR="004A01E4" w:rsidRPr="00624D7E" w:rsidRDefault="004A01E4" w:rsidP="002E3D0B">
            <w:pPr>
              <w:spacing w:after="0"/>
              <w:ind w:left="38"/>
              <w:jc w:val="both"/>
              <w:rPr>
                <w:sz w:val="18"/>
                <w:szCs w:val="18"/>
                <w:lang w:eastAsia="x-none"/>
              </w:rPr>
            </w:pPr>
            <w:r w:rsidRPr="00624D7E">
              <w:rPr>
                <w:sz w:val="18"/>
                <w:szCs w:val="18"/>
                <w:lang w:eastAsia="x-none"/>
              </w:rPr>
              <w:t>Requirement is needed, TBD whether it is same or different from Rel-15 NR</w:t>
            </w:r>
          </w:p>
        </w:tc>
        <w:tc>
          <w:tcPr>
            <w:tcW w:w="1560" w:type="dxa"/>
          </w:tcPr>
          <w:p w:rsidR="004A01E4" w:rsidRPr="00624D7E" w:rsidRDefault="004A01E4" w:rsidP="002E3D0B">
            <w:pPr>
              <w:spacing w:after="0"/>
              <w:jc w:val="both"/>
              <w:rPr>
                <w:sz w:val="18"/>
                <w:szCs w:val="18"/>
                <w:lang w:eastAsia="x-none"/>
              </w:rPr>
            </w:pPr>
            <w:r w:rsidRPr="00624D7E">
              <w:rPr>
                <w:sz w:val="18"/>
                <w:szCs w:val="18"/>
                <w:lang w:eastAsia="x-none"/>
              </w:rPr>
              <w:t>Requirement is needed, TBD whether it is same or different from Rel-15 NR</w:t>
            </w: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Pr>
                <w:color w:val="000000"/>
                <w:sz w:val="18"/>
                <w:szCs w:val="18"/>
              </w:rPr>
              <w:t>RLM</w:t>
            </w:r>
          </w:p>
        </w:tc>
        <w:tc>
          <w:tcPr>
            <w:tcW w:w="3255" w:type="dxa"/>
            <w:shd w:val="clear" w:color="auto" w:fill="auto"/>
          </w:tcPr>
          <w:p w:rsidR="004A01E4" w:rsidRPr="008E54E5" w:rsidRDefault="004A01E4" w:rsidP="002E3D0B">
            <w:pPr>
              <w:spacing w:after="0"/>
              <w:jc w:val="both"/>
              <w:rPr>
                <w:sz w:val="18"/>
                <w:szCs w:val="18"/>
              </w:rPr>
            </w:pPr>
            <w:r>
              <w:rPr>
                <w:sz w:val="18"/>
                <w:szCs w:val="18"/>
              </w:rPr>
              <w:t>Requirements for RLM, e.g., based on SSB, CSI-RS or both (details depend on agreements in other groups)</w:t>
            </w:r>
          </w:p>
        </w:tc>
        <w:tc>
          <w:tcPr>
            <w:tcW w:w="1695" w:type="dxa"/>
            <w:gridSpan w:val="3"/>
          </w:tcPr>
          <w:p w:rsidR="004A01E4" w:rsidRDefault="004A01E4" w:rsidP="002E3D0B">
            <w:pPr>
              <w:spacing w:after="0"/>
              <w:jc w:val="both"/>
              <w:rPr>
                <w:sz w:val="18"/>
                <w:szCs w:val="18"/>
              </w:rPr>
            </w:pPr>
            <w:r>
              <w:rPr>
                <w:sz w:val="18"/>
                <w:szCs w:val="18"/>
              </w:rPr>
              <w:t>N/A</w:t>
            </w:r>
          </w:p>
        </w:tc>
        <w:tc>
          <w:tcPr>
            <w:tcW w:w="1585" w:type="dxa"/>
          </w:tcPr>
          <w:p w:rsidR="004A01E4" w:rsidRDefault="004A01E4" w:rsidP="002E3D0B">
            <w:pPr>
              <w:spacing w:after="0"/>
              <w:jc w:val="both"/>
              <w:rPr>
                <w:sz w:val="18"/>
                <w:szCs w:val="18"/>
              </w:rPr>
            </w:pPr>
            <w:r>
              <w:rPr>
                <w:sz w:val="18"/>
                <w:szCs w:val="18"/>
              </w:rPr>
              <w:t>For PSCell</w:t>
            </w:r>
          </w:p>
        </w:tc>
        <w:tc>
          <w:tcPr>
            <w:tcW w:w="1560" w:type="dxa"/>
          </w:tcPr>
          <w:p w:rsidR="004A01E4" w:rsidRPr="008E54E5" w:rsidRDefault="004A01E4" w:rsidP="002E3D0B">
            <w:pPr>
              <w:spacing w:after="0"/>
              <w:jc w:val="both"/>
              <w:rPr>
                <w:sz w:val="18"/>
                <w:szCs w:val="18"/>
              </w:rPr>
            </w:pPr>
            <w:r>
              <w:rPr>
                <w:sz w:val="18"/>
                <w:szCs w:val="18"/>
              </w:rPr>
              <w:t>For PCell</w:t>
            </w:r>
          </w:p>
        </w:tc>
      </w:tr>
      <w:tr w:rsidR="004A01E4" w:rsidRPr="007F1EF5" w:rsidTr="002E3D0B">
        <w:tc>
          <w:tcPr>
            <w:tcW w:w="2645" w:type="dxa"/>
            <w:shd w:val="clear" w:color="auto" w:fill="auto"/>
          </w:tcPr>
          <w:p w:rsidR="004A01E4" w:rsidRPr="008E54E5" w:rsidRDefault="004A01E4" w:rsidP="002E3D0B">
            <w:pPr>
              <w:jc w:val="both"/>
              <w:rPr>
                <w:color w:val="000000"/>
                <w:sz w:val="18"/>
                <w:szCs w:val="18"/>
              </w:rPr>
            </w:pPr>
            <w:r w:rsidRPr="008E54E5">
              <w:rPr>
                <w:color w:val="000000"/>
                <w:sz w:val="18"/>
                <w:szCs w:val="18"/>
              </w:rPr>
              <w:t>L</w:t>
            </w:r>
            <w:r w:rsidRPr="008E54E5">
              <w:rPr>
                <w:sz w:val="18"/>
                <w:szCs w:val="18"/>
              </w:rPr>
              <w:t>ink recovery procedures</w:t>
            </w:r>
          </w:p>
        </w:tc>
        <w:tc>
          <w:tcPr>
            <w:tcW w:w="3255" w:type="dxa"/>
            <w:shd w:val="clear" w:color="auto" w:fill="auto"/>
          </w:tcPr>
          <w:p w:rsidR="004A01E4" w:rsidRPr="008E54E5" w:rsidRDefault="004A01E4" w:rsidP="002E3D0B">
            <w:pPr>
              <w:spacing w:after="0"/>
              <w:jc w:val="both"/>
              <w:rPr>
                <w:sz w:val="18"/>
                <w:szCs w:val="18"/>
              </w:rPr>
            </w:pPr>
            <w:r w:rsidRPr="008E54E5">
              <w:rPr>
                <w:sz w:val="18"/>
                <w:szCs w:val="18"/>
              </w:rPr>
              <w:t>Requirements for SSB-based and CSI-RS based beam failure detection and candidate beam detection</w:t>
            </w:r>
          </w:p>
        </w:tc>
        <w:tc>
          <w:tcPr>
            <w:tcW w:w="1695" w:type="dxa"/>
            <w:gridSpan w:val="3"/>
          </w:tcPr>
          <w:p w:rsidR="004A01E4" w:rsidRPr="008E54E5" w:rsidRDefault="004A01E4" w:rsidP="002E3D0B">
            <w:pPr>
              <w:spacing w:after="0"/>
              <w:jc w:val="both"/>
              <w:rPr>
                <w:sz w:val="18"/>
                <w:szCs w:val="18"/>
              </w:rPr>
            </w:pPr>
            <w:r>
              <w:rPr>
                <w:sz w:val="18"/>
                <w:szCs w:val="18"/>
              </w:rPr>
              <w:t>For PCell and SCells</w:t>
            </w:r>
          </w:p>
        </w:tc>
        <w:tc>
          <w:tcPr>
            <w:tcW w:w="1585" w:type="dxa"/>
          </w:tcPr>
          <w:p w:rsidR="004A01E4" w:rsidRPr="008E54E5" w:rsidRDefault="004A01E4" w:rsidP="002E3D0B">
            <w:pPr>
              <w:spacing w:after="0"/>
              <w:jc w:val="both"/>
              <w:rPr>
                <w:sz w:val="18"/>
                <w:szCs w:val="18"/>
              </w:rPr>
            </w:pPr>
            <w:r>
              <w:rPr>
                <w:sz w:val="18"/>
                <w:szCs w:val="18"/>
              </w:rPr>
              <w:t>For PSCell</w:t>
            </w:r>
          </w:p>
        </w:tc>
        <w:tc>
          <w:tcPr>
            <w:tcW w:w="1560" w:type="dxa"/>
          </w:tcPr>
          <w:p w:rsidR="004A01E4" w:rsidRPr="008E54E5" w:rsidRDefault="004A01E4" w:rsidP="002E3D0B">
            <w:pPr>
              <w:spacing w:after="0"/>
              <w:jc w:val="both"/>
              <w:rPr>
                <w:sz w:val="18"/>
                <w:szCs w:val="18"/>
              </w:rPr>
            </w:pPr>
            <w:r>
              <w:rPr>
                <w:sz w:val="18"/>
                <w:szCs w:val="18"/>
              </w:rPr>
              <w:t>For PCell</w:t>
            </w:r>
          </w:p>
        </w:tc>
      </w:tr>
      <w:tr w:rsidR="004A01E4" w:rsidRPr="007F1EF5" w:rsidTr="002E3D0B">
        <w:trPr>
          <w:trHeight w:val="1348"/>
        </w:trPr>
        <w:tc>
          <w:tcPr>
            <w:tcW w:w="2645" w:type="dxa"/>
            <w:vMerge w:val="restart"/>
            <w:shd w:val="clear" w:color="auto" w:fill="auto"/>
          </w:tcPr>
          <w:p w:rsidR="004A01E4" w:rsidRPr="008E54E5" w:rsidRDefault="004A01E4" w:rsidP="002E3D0B">
            <w:pPr>
              <w:jc w:val="both"/>
              <w:rPr>
                <w:color w:val="000000"/>
                <w:sz w:val="18"/>
                <w:szCs w:val="18"/>
              </w:rPr>
            </w:pPr>
            <w:r w:rsidRPr="008E54E5">
              <w:rPr>
                <w:color w:val="000000"/>
                <w:sz w:val="18"/>
                <w:szCs w:val="18"/>
              </w:rPr>
              <w:t>M</w:t>
            </w:r>
            <w:r w:rsidRPr="008E54E5">
              <w:rPr>
                <w:sz w:val="18"/>
                <w:szCs w:val="18"/>
              </w:rPr>
              <w:t xml:space="preserve">easurements </w:t>
            </w:r>
            <w:r>
              <w:rPr>
                <w:sz w:val="18"/>
                <w:szCs w:val="18"/>
              </w:rPr>
              <w:t>requirements and measurement accuracy requirements</w:t>
            </w:r>
          </w:p>
        </w:tc>
        <w:tc>
          <w:tcPr>
            <w:tcW w:w="3255" w:type="dxa"/>
            <w:shd w:val="clear" w:color="auto" w:fill="auto"/>
          </w:tcPr>
          <w:p w:rsidR="004A01E4" w:rsidRPr="00DA4863" w:rsidRDefault="004A01E4" w:rsidP="002E3D0B">
            <w:pPr>
              <w:spacing w:after="0"/>
              <w:jc w:val="both"/>
              <w:rPr>
                <w:sz w:val="18"/>
                <w:szCs w:val="18"/>
              </w:rPr>
            </w:pPr>
            <w:r>
              <w:rPr>
                <w:sz w:val="18"/>
                <w:szCs w:val="18"/>
              </w:rPr>
              <w:t>Non-CA intra-frequency</w:t>
            </w:r>
          </w:p>
        </w:tc>
        <w:tc>
          <w:tcPr>
            <w:tcW w:w="1695" w:type="dxa"/>
            <w:gridSpan w:val="3"/>
          </w:tcPr>
          <w:p w:rsidR="004A01E4" w:rsidRPr="008E54E5" w:rsidRDefault="004A01E4" w:rsidP="002E3D0B">
            <w:pPr>
              <w:spacing w:after="0"/>
              <w:jc w:val="both"/>
              <w:rPr>
                <w:sz w:val="18"/>
                <w:szCs w:val="18"/>
              </w:rPr>
            </w:pPr>
            <w:r>
              <w:rPr>
                <w:sz w:val="18"/>
                <w:szCs w:val="18"/>
              </w:rPr>
              <w:t>N/A</w:t>
            </w:r>
          </w:p>
        </w:tc>
        <w:tc>
          <w:tcPr>
            <w:tcW w:w="1585" w:type="dxa"/>
          </w:tcPr>
          <w:p w:rsidR="004A01E4" w:rsidRDefault="004A01E4" w:rsidP="004A01E4">
            <w:pPr>
              <w:numPr>
                <w:ilvl w:val="0"/>
                <w:numId w:val="41"/>
              </w:numPr>
              <w:spacing w:after="0"/>
              <w:ind w:left="55" w:hanging="142"/>
              <w:jc w:val="both"/>
              <w:rPr>
                <w:sz w:val="18"/>
                <w:szCs w:val="18"/>
              </w:rPr>
            </w:pPr>
            <w:r>
              <w:rPr>
                <w:sz w:val="18"/>
                <w:szCs w:val="18"/>
              </w:rPr>
              <w:t>PSCell and PSCC: SSB-based and CSI-RS based measurements (RSRP/RSRQ/SINR)</w:t>
            </w:r>
          </w:p>
          <w:p w:rsidR="004A01E4" w:rsidRDefault="004A01E4" w:rsidP="004A01E4">
            <w:pPr>
              <w:numPr>
                <w:ilvl w:val="0"/>
                <w:numId w:val="41"/>
              </w:numPr>
              <w:spacing w:after="0"/>
              <w:ind w:left="55" w:hanging="142"/>
              <w:jc w:val="both"/>
              <w:rPr>
                <w:sz w:val="18"/>
                <w:szCs w:val="18"/>
              </w:rPr>
            </w:pPr>
            <w:r>
              <w:rPr>
                <w:sz w:val="18"/>
                <w:szCs w:val="18"/>
              </w:rPr>
              <w:t>PSCell: L1 RSRP for reporting</w:t>
            </w:r>
          </w:p>
          <w:p w:rsidR="004A01E4" w:rsidRPr="008E54E5" w:rsidRDefault="004A01E4" w:rsidP="004A01E4">
            <w:pPr>
              <w:numPr>
                <w:ilvl w:val="0"/>
                <w:numId w:val="41"/>
              </w:numPr>
              <w:spacing w:after="0"/>
              <w:ind w:left="55" w:hanging="142"/>
              <w:jc w:val="both"/>
              <w:rPr>
                <w:sz w:val="18"/>
                <w:szCs w:val="18"/>
              </w:rPr>
            </w:pPr>
            <w:r>
              <w:rPr>
                <w:sz w:val="18"/>
                <w:szCs w:val="18"/>
              </w:rPr>
              <w:t>PSCC: RSSI and channel occupancy</w:t>
            </w:r>
          </w:p>
        </w:tc>
        <w:tc>
          <w:tcPr>
            <w:tcW w:w="1560" w:type="dxa"/>
          </w:tcPr>
          <w:p w:rsidR="004A01E4" w:rsidRDefault="004A01E4" w:rsidP="004A01E4">
            <w:pPr>
              <w:numPr>
                <w:ilvl w:val="0"/>
                <w:numId w:val="41"/>
              </w:numPr>
              <w:spacing w:after="0"/>
              <w:ind w:left="55" w:hanging="142"/>
              <w:jc w:val="both"/>
              <w:rPr>
                <w:sz w:val="18"/>
                <w:szCs w:val="18"/>
              </w:rPr>
            </w:pPr>
            <w:r>
              <w:rPr>
                <w:sz w:val="18"/>
                <w:szCs w:val="18"/>
              </w:rPr>
              <w:t>PCell and PCell carrier: SSB-based and CSI-RS based measurements (RSRP/RSRQ/SINR)</w:t>
            </w:r>
          </w:p>
          <w:p w:rsidR="004A01E4" w:rsidRDefault="004A01E4" w:rsidP="004A01E4">
            <w:pPr>
              <w:numPr>
                <w:ilvl w:val="0"/>
                <w:numId w:val="41"/>
              </w:numPr>
              <w:spacing w:after="0"/>
              <w:ind w:left="55" w:hanging="142"/>
              <w:jc w:val="both"/>
              <w:rPr>
                <w:sz w:val="18"/>
                <w:szCs w:val="18"/>
              </w:rPr>
            </w:pPr>
            <w:r>
              <w:rPr>
                <w:sz w:val="18"/>
                <w:szCs w:val="18"/>
              </w:rPr>
              <w:t>PCell: L1 RSRP for reporting</w:t>
            </w:r>
          </w:p>
          <w:p w:rsidR="004A01E4" w:rsidRPr="008E54E5" w:rsidRDefault="004A01E4" w:rsidP="004A01E4">
            <w:pPr>
              <w:numPr>
                <w:ilvl w:val="0"/>
                <w:numId w:val="41"/>
              </w:numPr>
              <w:spacing w:after="0"/>
              <w:ind w:left="55" w:hanging="142"/>
              <w:jc w:val="both"/>
              <w:rPr>
                <w:sz w:val="18"/>
                <w:szCs w:val="18"/>
              </w:rPr>
            </w:pPr>
            <w:r>
              <w:rPr>
                <w:sz w:val="18"/>
                <w:szCs w:val="18"/>
              </w:rPr>
              <w:t>PCell carrier: RSSI and channel occupancy</w:t>
            </w:r>
          </w:p>
        </w:tc>
      </w:tr>
      <w:tr w:rsidR="004A01E4" w:rsidRPr="007F1EF5" w:rsidTr="002E3D0B">
        <w:trPr>
          <w:trHeight w:val="699"/>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Pr>
                <w:sz w:val="18"/>
                <w:szCs w:val="18"/>
              </w:rPr>
              <w:t>CA intra-frequency</w:t>
            </w:r>
          </w:p>
        </w:tc>
        <w:tc>
          <w:tcPr>
            <w:tcW w:w="1695" w:type="dxa"/>
            <w:gridSpan w:val="3"/>
          </w:tcPr>
          <w:p w:rsidR="004A01E4" w:rsidRDefault="004A01E4" w:rsidP="004A01E4">
            <w:pPr>
              <w:numPr>
                <w:ilvl w:val="0"/>
                <w:numId w:val="41"/>
              </w:numPr>
              <w:spacing w:after="0"/>
              <w:ind w:left="55" w:hanging="142"/>
              <w:jc w:val="both"/>
              <w:rPr>
                <w:sz w:val="18"/>
                <w:szCs w:val="18"/>
              </w:rPr>
            </w:pPr>
            <w:r>
              <w:rPr>
                <w:sz w:val="18"/>
                <w:szCs w:val="18"/>
              </w:rPr>
              <w:t>SCell and SCC: SSB-based and CSI-RS based measurements (RSRP/RSRQ/SIN</w:t>
            </w:r>
            <w:r>
              <w:rPr>
                <w:sz w:val="18"/>
                <w:szCs w:val="18"/>
              </w:rPr>
              <w:lastRenderedPageBreak/>
              <w:t>R)</w:t>
            </w:r>
          </w:p>
          <w:p w:rsidR="004A01E4" w:rsidRDefault="004A01E4" w:rsidP="004A01E4">
            <w:pPr>
              <w:numPr>
                <w:ilvl w:val="0"/>
                <w:numId w:val="41"/>
              </w:numPr>
              <w:spacing w:after="0"/>
              <w:ind w:left="55" w:hanging="142"/>
              <w:jc w:val="both"/>
              <w:rPr>
                <w:sz w:val="18"/>
                <w:szCs w:val="18"/>
              </w:rPr>
            </w:pPr>
            <w:r>
              <w:rPr>
                <w:sz w:val="18"/>
                <w:szCs w:val="18"/>
              </w:rPr>
              <w:t>SCell: L1 RSRP for reporting</w:t>
            </w:r>
          </w:p>
          <w:p w:rsidR="004A01E4" w:rsidRPr="008E54E5" w:rsidRDefault="004A01E4" w:rsidP="004A01E4">
            <w:pPr>
              <w:numPr>
                <w:ilvl w:val="0"/>
                <w:numId w:val="41"/>
              </w:numPr>
              <w:spacing w:after="0"/>
              <w:ind w:left="55" w:hanging="142"/>
              <w:jc w:val="both"/>
              <w:rPr>
                <w:sz w:val="18"/>
                <w:szCs w:val="18"/>
              </w:rPr>
            </w:pPr>
            <w:r>
              <w:rPr>
                <w:sz w:val="18"/>
                <w:szCs w:val="18"/>
              </w:rPr>
              <w:t>SCC: RSSI and channel occupancy</w:t>
            </w:r>
          </w:p>
        </w:tc>
        <w:tc>
          <w:tcPr>
            <w:tcW w:w="1585" w:type="dxa"/>
          </w:tcPr>
          <w:p w:rsidR="004A01E4" w:rsidRPr="008E54E5" w:rsidRDefault="004A01E4" w:rsidP="002E3D0B">
            <w:pPr>
              <w:spacing w:after="0"/>
              <w:jc w:val="both"/>
              <w:rPr>
                <w:sz w:val="18"/>
                <w:szCs w:val="18"/>
              </w:rPr>
            </w:pPr>
            <w:r>
              <w:rPr>
                <w:sz w:val="18"/>
                <w:szCs w:val="18"/>
              </w:rPr>
              <w:lastRenderedPageBreak/>
              <w:t>N/A</w:t>
            </w:r>
          </w:p>
        </w:tc>
        <w:tc>
          <w:tcPr>
            <w:tcW w:w="1560" w:type="dxa"/>
          </w:tcPr>
          <w:p w:rsidR="004A01E4" w:rsidRPr="008E54E5" w:rsidRDefault="004A01E4" w:rsidP="002E3D0B">
            <w:pPr>
              <w:spacing w:after="0"/>
              <w:jc w:val="both"/>
              <w:rPr>
                <w:sz w:val="18"/>
                <w:szCs w:val="18"/>
              </w:rPr>
            </w:pPr>
            <w:r>
              <w:rPr>
                <w:sz w:val="18"/>
                <w:szCs w:val="18"/>
              </w:rPr>
              <w:t>N/A</w:t>
            </w:r>
            <w:r w:rsidRPr="005A3C45">
              <w:rPr>
                <w:sz w:val="18"/>
                <w:szCs w:val="18"/>
                <w:vertAlign w:val="superscript"/>
              </w:rPr>
              <w:t>Note 2</w:t>
            </w:r>
          </w:p>
        </w:tc>
      </w:tr>
      <w:tr w:rsidR="004A01E4" w:rsidRPr="007F1EF5" w:rsidTr="002E3D0B">
        <w:trPr>
          <w:trHeight w:val="1346"/>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Pr>
                <w:sz w:val="18"/>
                <w:szCs w:val="18"/>
              </w:rPr>
              <w:t>Inter-frequency</w:t>
            </w:r>
          </w:p>
        </w:tc>
        <w:tc>
          <w:tcPr>
            <w:tcW w:w="1695" w:type="dxa"/>
            <w:gridSpan w:val="3"/>
          </w:tcPr>
          <w:p w:rsidR="004A01E4" w:rsidRDefault="004A01E4" w:rsidP="004A01E4">
            <w:pPr>
              <w:numPr>
                <w:ilvl w:val="0"/>
                <w:numId w:val="41"/>
              </w:numPr>
              <w:spacing w:after="0"/>
              <w:ind w:left="55" w:hanging="142"/>
              <w:jc w:val="both"/>
              <w:rPr>
                <w:sz w:val="18"/>
                <w:szCs w:val="18"/>
              </w:rPr>
            </w:pPr>
            <w:r>
              <w:rPr>
                <w:sz w:val="18"/>
                <w:szCs w:val="18"/>
              </w:rPr>
              <w:t>SSB-based and CSI-RS based measurements (RSRP/RSRQ/SINR)</w:t>
            </w:r>
          </w:p>
          <w:p w:rsidR="004A01E4" w:rsidRPr="004930AD" w:rsidRDefault="004A01E4" w:rsidP="004A01E4">
            <w:pPr>
              <w:numPr>
                <w:ilvl w:val="0"/>
                <w:numId w:val="41"/>
              </w:numPr>
              <w:spacing w:after="0"/>
              <w:ind w:left="55" w:hanging="142"/>
              <w:jc w:val="both"/>
              <w:rPr>
                <w:sz w:val="18"/>
                <w:szCs w:val="18"/>
              </w:rPr>
            </w:pPr>
            <w:r w:rsidRPr="004930AD">
              <w:rPr>
                <w:sz w:val="18"/>
                <w:szCs w:val="18"/>
              </w:rPr>
              <w:t>RSSI and channel occupancy</w:t>
            </w:r>
          </w:p>
        </w:tc>
        <w:tc>
          <w:tcPr>
            <w:tcW w:w="1585" w:type="dxa"/>
          </w:tcPr>
          <w:p w:rsidR="004A01E4" w:rsidRDefault="004A01E4" w:rsidP="004A01E4">
            <w:pPr>
              <w:numPr>
                <w:ilvl w:val="0"/>
                <w:numId w:val="41"/>
              </w:numPr>
              <w:spacing w:after="0"/>
              <w:ind w:left="55" w:hanging="142"/>
              <w:jc w:val="both"/>
              <w:rPr>
                <w:sz w:val="18"/>
                <w:szCs w:val="18"/>
              </w:rPr>
            </w:pPr>
            <w:r>
              <w:rPr>
                <w:sz w:val="18"/>
                <w:szCs w:val="18"/>
              </w:rPr>
              <w:t>SSB-based and CSI-RS based measurements (RSRP/RSRQ/SINR)</w:t>
            </w:r>
          </w:p>
          <w:p w:rsidR="004A01E4" w:rsidRPr="008E54E5" w:rsidRDefault="004A01E4" w:rsidP="004A01E4">
            <w:pPr>
              <w:numPr>
                <w:ilvl w:val="0"/>
                <w:numId w:val="41"/>
              </w:numPr>
              <w:spacing w:after="0"/>
              <w:ind w:left="55" w:hanging="142"/>
              <w:jc w:val="both"/>
              <w:rPr>
                <w:sz w:val="18"/>
                <w:szCs w:val="18"/>
              </w:rPr>
            </w:pPr>
            <w:r w:rsidRPr="004930AD">
              <w:rPr>
                <w:sz w:val="18"/>
                <w:szCs w:val="18"/>
              </w:rPr>
              <w:t>RSSI and channel occupancy</w:t>
            </w:r>
          </w:p>
        </w:tc>
        <w:tc>
          <w:tcPr>
            <w:tcW w:w="1560" w:type="dxa"/>
          </w:tcPr>
          <w:p w:rsidR="004A01E4" w:rsidRDefault="004A01E4" w:rsidP="004A01E4">
            <w:pPr>
              <w:numPr>
                <w:ilvl w:val="0"/>
                <w:numId w:val="41"/>
              </w:numPr>
              <w:spacing w:after="0"/>
              <w:ind w:left="55" w:hanging="142"/>
              <w:jc w:val="both"/>
              <w:rPr>
                <w:sz w:val="18"/>
                <w:szCs w:val="18"/>
              </w:rPr>
            </w:pPr>
            <w:r>
              <w:rPr>
                <w:sz w:val="18"/>
                <w:szCs w:val="18"/>
              </w:rPr>
              <w:t>SSB-based and CSI-RS based measurements (RSRP/RSRQ/SINR)</w:t>
            </w:r>
          </w:p>
          <w:p w:rsidR="004A01E4" w:rsidRPr="008E54E5" w:rsidRDefault="004A01E4" w:rsidP="004A01E4">
            <w:pPr>
              <w:numPr>
                <w:ilvl w:val="0"/>
                <w:numId w:val="41"/>
              </w:numPr>
              <w:spacing w:after="0"/>
              <w:ind w:left="55" w:hanging="142"/>
              <w:jc w:val="both"/>
              <w:rPr>
                <w:sz w:val="18"/>
                <w:szCs w:val="18"/>
              </w:rPr>
            </w:pPr>
            <w:r w:rsidRPr="004930AD">
              <w:rPr>
                <w:sz w:val="18"/>
                <w:szCs w:val="18"/>
              </w:rPr>
              <w:t>RSSI and channel occupancy</w:t>
            </w:r>
          </w:p>
        </w:tc>
      </w:tr>
      <w:tr w:rsidR="004A01E4" w:rsidRPr="007F1EF5" w:rsidTr="002E3D0B">
        <w:trPr>
          <w:trHeight w:val="1346"/>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Pr>
                <w:sz w:val="18"/>
                <w:szCs w:val="18"/>
              </w:rPr>
              <w:t>Inter-RAT</w:t>
            </w:r>
          </w:p>
        </w:tc>
        <w:tc>
          <w:tcPr>
            <w:tcW w:w="1695" w:type="dxa"/>
            <w:gridSpan w:val="3"/>
          </w:tcPr>
          <w:p w:rsidR="004A01E4" w:rsidRDefault="004A01E4" w:rsidP="002E3D0B">
            <w:pPr>
              <w:spacing w:after="0"/>
              <w:ind w:left="55"/>
              <w:jc w:val="both"/>
              <w:rPr>
                <w:sz w:val="18"/>
                <w:szCs w:val="18"/>
              </w:rPr>
            </w:pPr>
            <w:r>
              <w:rPr>
                <w:sz w:val="18"/>
                <w:szCs w:val="18"/>
              </w:rPr>
              <w:t>N/A</w:t>
            </w:r>
          </w:p>
        </w:tc>
        <w:tc>
          <w:tcPr>
            <w:tcW w:w="1585" w:type="dxa"/>
          </w:tcPr>
          <w:p w:rsidR="004A01E4" w:rsidRDefault="004A01E4" w:rsidP="004A01E4">
            <w:pPr>
              <w:numPr>
                <w:ilvl w:val="0"/>
                <w:numId w:val="41"/>
              </w:numPr>
              <w:spacing w:after="0"/>
              <w:ind w:left="55" w:hanging="142"/>
              <w:jc w:val="both"/>
              <w:rPr>
                <w:sz w:val="18"/>
                <w:szCs w:val="18"/>
              </w:rPr>
            </w:pPr>
            <w:r>
              <w:rPr>
                <w:sz w:val="18"/>
                <w:szCs w:val="18"/>
              </w:rPr>
              <w:t>NR-U as inter-RAT in TS 36.133 (before DC)</w:t>
            </w:r>
          </w:p>
        </w:tc>
        <w:tc>
          <w:tcPr>
            <w:tcW w:w="1560" w:type="dxa"/>
          </w:tcPr>
          <w:p w:rsidR="004A01E4" w:rsidRDefault="004A01E4" w:rsidP="002E3D0B">
            <w:pPr>
              <w:spacing w:after="0"/>
              <w:ind w:left="55"/>
              <w:jc w:val="both"/>
              <w:rPr>
                <w:sz w:val="18"/>
                <w:szCs w:val="18"/>
              </w:rPr>
            </w:pPr>
            <w:r>
              <w:rPr>
                <w:sz w:val="18"/>
                <w:szCs w:val="18"/>
              </w:rPr>
              <w:t>- Measurements in other RATs: depends on agreements in other groups</w:t>
            </w:r>
          </w:p>
        </w:tc>
      </w:tr>
      <w:tr w:rsidR="004A01E4" w:rsidRPr="007F1EF5" w:rsidTr="002E3D0B">
        <w:trPr>
          <w:trHeight w:val="1346"/>
        </w:trPr>
        <w:tc>
          <w:tcPr>
            <w:tcW w:w="2645" w:type="dxa"/>
            <w:shd w:val="clear" w:color="auto" w:fill="auto"/>
          </w:tcPr>
          <w:p w:rsidR="004A01E4" w:rsidRPr="008E54E5" w:rsidRDefault="004A01E4" w:rsidP="002E3D0B">
            <w:pPr>
              <w:jc w:val="both"/>
              <w:rPr>
                <w:color w:val="000000"/>
                <w:sz w:val="18"/>
                <w:szCs w:val="18"/>
              </w:rPr>
            </w:pPr>
            <w:r>
              <w:rPr>
                <w:color w:val="000000"/>
                <w:sz w:val="18"/>
                <w:szCs w:val="18"/>
              </w:rPr>
              <w:t>UE measurements capability and reporting criteria</w:t>
            </w:r>
          </w:p>
        </w:tc>
        <w:tc>
          <w:tcPr>
            <w:tcW w:w="3255" w:type="dxa"/>
            <w:shd w:val="clear" w:color="auto" w:fill="auto"/>
          </w:tcPr>
          <w:p w:rsidR="004A01E4" w:rsidRDefault="004A01E4" w:rsidP="002E3D0B">
            <w:pPr>
              <w:spacing w:after="0"/>
              <w:jc w:val="both"/>
              <w:rPr>
                <w:sz w:val="18"/>
                <w:szCs w:val="18"/>
              </w:rPr>
            </w:pPr>
          </w:p>
        </w:tc>
        <w:tc>
          <w:tcPr>
            <w:tcW w:w="1695" w:type="dxa"/>
            <w:gridSpan w:val="3"/>
          </w:tcPr>
          <w:p w:rsidR="004A01E4" w:rsidRDefault="004A01E4" w:rsidP="002E3D0B">
            <w:pPr>
              <w:spacing w:after="0"/>
              <w:ind w:left="55"/>
              <w:jc w:val="both"/>
              <w:rPr>
                <w:sz w:val="18"/>
                <w:szCs w:val="18"/>
              </w:rPr>
            </w:pPr>
            <w:r>
              <w:rPr>
                <w:sz w:val="18"/>
                <w:szCs w:val="18"/>
              </w:rPr>
              <w:t>Yes</w:t>
            </w:r>
          </w:p>
        </w:tc>
        <w:tc>
          <w:tcPr>
            <w:tcW w:w="1585" w:type="dxa"/>
          </w:tcPr>
          <w:p w:rsidR="004A01E4" w:rsidRDefault="004A01E4" w:rsidP="002E3D0B">
            <w:pPr>
              <w:spacing w:after="0"/>
              <w:jc w:val="both"/>
              <w:rPr>
                <w:sz w:val="18"/>
                <w:szCs w:val="18"/>
              </w:rPr>
            </w:pPr>
            <w:r>
              <w:rPr>
                <w:sz w:val="18"/>
                <w:szCs w:val="18"/>
              </w:rPr>
              <w:t>Yes</w:t>
            </w:r>
          </w:p>
        </w:tc>
        <w:tc>
          <w:tcPr>
            <w:tcW w:w="1560" w:type="dxa"/>
          </w:tcPr>
          <w:p w:rsidR="004A01E4" w:rsidRDefault="004A01E4" w:rsidP="002E3D0B">
            <w:pPr>
              <w:spacing w:after="0"/>
              <w:jc w:val="both"/>
              <w:rPr>
                <w:sz w:val="18"/>
                <w:szCs w:val="18"/>
              </w:rPr>
            </w:pPr>
            <w:r>
              <w:rPr>
                <w:sz w:val="18"/>
                <w:szCs w:val="18"/>
              </w:rPr>
              <w:t>Yes</w:t>
            </w:r>
          </w:p>
        </w:tc>
      </w:tr>
      <w:tr w:rsidR="004A01E4" w:rsidRPr="007F1EF5" w:rsidTr="002E3D0B">
        <w:trPr>
          <w:trHeight w:val="564"/>
        </w:trPr>
        <w:tc>
          <w:tcPr>
            <w:tcW w:w="2645" w:type="dxa"/>
            <w:vMerge w:val="restart"/>
            <w:shd w:val="clear" w:color="auto" w:fill="auto"/>
          </w:tcPr>
          <w:p w:rsidR="004A01E4" w:rsidRPr="008E54E5" w:rsidRDefault="004A01E4" w:rsidP="002E3D0B">
            <w:pPr>
              <w:jc w:val="both"/>
              <w:rPr>
                <w:color w:val="000000"/>
                <w:sz w:val="18"/>
                <w:szCs w:val="18"/>
              </w:rPr>
            </w:pPr>
            <w:r w:rsidRPr="008E54E5">
              <w:rPr>
                <w:color w:val="000000"/>
                <w:sz w:val="18"/>
                <w:szCs w:val="18"/>
              </w:rPr>
              <w:t>UE timing related requirements</w:t>
            </w:r>
          </w:p>
        </w:tc>
        <w:tc>
          <w:tcPr>
            <w:tcW w:w="3255" w:type="dxa"/>
            <w:shd w:val="clear" w:color="auto" w:fill="auto"/>
          </w:tcPr>
          <w:p w:rsidR="004A01E4" w:rsidRPr="00EC7D4B" w:rsidRDefault="004A01E4" w:rsidP="002E3D0B">
            <w:pPr>
              <w:spacing w:after="0"/>
              <w:jc w:val="both"/>
              <w:rPr>
                <w:sz w:val="18"/>
                <w:szCs w:val="18"/>
              </w:rPr>
            </w:pPr>
            <w:r w:rsidRPr="008E54E5">
              <w:rPr>
                <w:sz w:val="18"/>
                <w:szCs w:val="18"/>
              </w:rPr>
              <w:t>UE maximum receive timing difference</w:t>
            </w:r>
          </w:p>
        </w:tc>
        <w:tc>
          <w:tcPr>
            <w:tcW w:w="1695" w:type="dxa"/>
            <w:gridSpan w:val="3"/>
          </w:tcPr>
          <w:p w:rsidR="004A01E4" w:rsidRPr="008E54E5" w:rsidRDefault="004A01E4" w:rsidP="002E3D0B">
            <w:pPr>
              <w:spacing w:after="0"/>
              <w:ind w:left="38"/>
              <w:jc w:val="both"/>
              <w:rPr>
                <w:sz w:val="18"/>
                <w:szCs w:val="18"/>
              </w:rPr>
            </w:pPr>
            <w:r>
              <w:rPr>
                <w:sz w:val="18"/>
                <w:szCs w:val="18"/>
              </w:rPr>
              <w:t>Yes</w:t>
            </w:r>
          </w:p>
        </w:tc>
        <w:tc>
          <w:tcPr>
            <w:tcW w:w="1585" w:type="dxa"/>
          </w:tcPr>
          <w:p w:rsidR="004A01E4" w:rsidRPr="008E54E5" w:rsidRDefault="004A01E4" w:rsidP="002E3D0B">
            <w:pPr>
              <w:spacing w:after="0"/>
              <w:ind w:left="38"/>
              <w:jc w:val="both"/>
              <w:rPr>
                <w:sz w:val="18"/>
                <w:szCs w:val="18"/>
              </w:rPr>
            </w:pPr>
            <w:r>
              <w:rPr>
                <w:sz w:val="18"/>
                <w:szCs w:val="18"/>
              </w:rPr>
              <w:t>Yes</w:t>
            </w:r>
          </w:p>
        </w:tc>
        <w:tc>
          <w:tcPr>
            <w:tcW w:w="1560" w:type="dxa"/>
          </w:tcPr>
          <w:p w:rsidR="004A01E4" w:rsidRPr="008E54E5" w:rsidRDefault="004A01E4" w:rsidP="002E3D0B">
            <w:pPr>
              <w:spacing w:after="0"/>
              <w:jc w:val="both"/>
              <w:rPr>
                <w:sz w:val="18"/>
                <w:szCs w:val="18"/>
              </w:rPr>
            </w:pPr>
            <w:r>
              <w:rPr>
                <w:sz w:val="18"/>
                <w:szCs w:val="18"/>
              </w:rPr>
              <w:t>Yes</w:t>
            </w:r>
          </w:p>
        </w:tc>
      </w:tr>
      <w:tr w:rsidR="004A01E4" w:rsidRPr="007F1EF5" w:rsidTr="002E3D0B">
        <w:trPr>
          <w:trHeight w:val="563"/>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sidRPr="008E54E5">
              <w:rPr>
                <w:sz w:val="18"/>
                <w:szCs w:val="18"/>
              </w:rPr>
              <w:t>UE transmit timing</w:t>
            </w:r>
          </w:p>
        </w:tc>
        <w:tc>
          <w:tcPr>
            <w:tcW w:w="847" w:type="dxa"/>
          </w:tcPr>
          <w:p w:rsidR="004A01E4" w:rsidRPr="008E54E5" w:rsidRDefault="004A01E4" w:rsidP="002E3D0B">
            <w:pPr>
              <w:spacing w:after="0"/>
              <w:ind w:left="38"/>
              <w:jc w:val="both"/>
              <w:rPr>
                <w:sz w:val="18"/>
                <w:szCs w:val="18"/>
              </w:rPr>
            </w:pPr>
            <w:r>
              <w:rPr>
                <w:sz w:val="18"/>
                <w:szCs w:val="18"/>
              </w:rPr>
              <w:t>N/A</w:t>
            </w:r>
          </w:p>
        </w:tc>
        <w:tc>
          <w:tcPr>
            <w:tcW w:w="848" w:type="dxa"/>
            <w:gridSpan w:val="2"/>
          </w:tcPr>
          <w:p w:rsidR="004A01E4" w:rsidRPr="008E54E5" w:rsidRDefault="004A01E4" w:rsidP="002E3D0B">
            <w:pPr>
              <w:spacing w:after="0"/>
              <w:ind w:left="38"/>
              <w:jc w:val="both"/>
              <w:rPr>
                <w:sz w:val="18"/>
                <w:szCs w:val="18"/>
              </w:rPr>
            </w:pPr>
            <w:r>
              <w:rPr>
                <w:sz w:val="18"/>
                <w:szCs w:val="18"/>
              </w:rPr>
              <w:t>Yes</w:t>
            </w:r>
          </w:p>
        </w:tc>
        <w:tc>
          <w:tcPr>
            <w:tcW w:w="1585" w:type="dxa"/>
          </w:tcPr>
          <w:p w:rsidR="004A01E4" w:rsidRPr="008E54E5" w:rsidRDefault="004A01E4" w:rsidP="002E3D0B">
            <w:pPr>
              <w:spacing w:after="0"/>
              <w:ind w:left="38"/>
              <w:jc w:val="both"/>
              <w:rPr>
                <w:sz w:val="18"/>
                <w:szCs w:val="18"/>
              </w:rPr>
            </w:pPr>
            <w:r>
              <w:rPr>
                <w:sz w:val="18"/>
                <w:szCs w:val="18"/>
              </w:rPr>
              <w:t>Yes</w:t>
            </w:r>
          </w:p>
        </w:tc>
        <w:tc>
          <w:tcPr>
            <w:tcW w:w="1560" w:type="dxa"/>
          </w:tcPr>
          <w:p w:rsidR="004A01E4" w:rsidRPr="008E54E5" w:rsidRDefault="004A01E4" w:rsidP="002E3D0B">
            <w:pPr>
              <w:spacing w:after="0"/>
              <w:jc w:val="both"/>
              <w:rPr>
                <w:sz w:val="18"/>
                <w:szCs w:val="18"/>
              </w:rPr>
            </w:pPr>
            <w:r>
              <w:rPr>
                <w:sz w:val="18"/>
                <w:szCs w:val="18"/>
              </w:rPr>
              <w:t>Yes</w:t>
            </w:r>
          </w:p>
        </w:tc>
      </w:tr>
      <w:tr w:rsidR="004A01E4" w:rsidRPr="007F1EF5" w:rsidTr="002E3D0B">
        <w:trPr>
          <w:trHeight w:val="563"/>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Default="004A01E4" w:rsidP="002E3D0B">
            <w:pPr>
              <w:spacing w:after="0"/>
              <w:jc w:val="both"/>
              <w:rPr>
                <w:sz w:val="18"/>
                <w:szCs w:val="18"/>
              </w:rPr>
            </w:pPr>
            <w:r w:rsidRPr="008E54E5">
              <w:rPr>
                <w:sz w:val="18"/>
                <w:szCs w:val="18"/>
              </w:rPr>
              <w:t>UE maximum transmit timing difference</w:t>
            </w:r>
          </w:p>
        </w:tc>
        <w:tc>
          <w:tcPr>
            <w:tcW w:w="1695" w:type="dxa"/>
            <w:gridSpan w:val="3"/>
          </w:tcPr>
          <w:p w:rsidR="004A01E4" w:rsidRPr="008E54E5" w:rsidRDefault="004A01E4" w:rsidP="002E3D0B">
            <w:pPr>
              <w:spacing w:after="0"/>
              <w:ind w:left="38"/>
              <w:jc w:val="both"/>
              <w:rPr>
                <w:sz w:val="18"/>
                <w:szCs w:val="18"/>
              </w:rPr>
            </w:pPr>
            <w:r>
              <w:rPr>
                <w:sz w:val="18"/>
                <w:szCs w:val="18"/>
              </w:rPr>
              <w:t>Yes, if NR-U SCell can be in sTAG</w:t>
            </w:r>
          </w:p>
        </w:tc>
        <w:tc>
          <w:tcPr>
            <w:tcW w:w="1585" w:type="dxa"/>
          </w:tcPr>
          <w:p w:rsidR="004A01E4" w:rsidRPr="008E54E5" w:rsidRDefault="004A01E4" w:rsidP="002E3D0B">
            <w:pPr>
              <w:spacing w:after="0"/>
              <w:ind w:left="38"/>
              <w:jc w:val="both"/>
              <w:rPr>
                <w:sz w:val="18"/>
                <w:szCs w:val="18"/>
              </w:rPr>
            </w:pPr>
            <w:r>
              <w:rPr>
                <w:sz w:val="18"/>
                <w:szCs w:val="18"/>
              </w:rPr>
              <w:t>Yes</w:t>
            </w:r>
          </w:p>
        </w:tc>
        <w:tc>
          <w:tcPr>
            <w:tcW w:w="1560" w:type="dxa"/>
          </w:tcPr>
          <w:p w:rsidR="004A01E4" w:rsidRPr="008E54E5" w:rsidRDefault="004A01E4" w:rsidP="002E3D0B">
            <w:pPr>
              <w:spacing w:after="0"/>
              <w:jc w:val="both"/>
              <w:rPr>
                <w:sz w:val="18"/>
                <w:szCs w:val="18"/>
              </w:rPr>
            </w:pPr>
            <w:r>
              <w:rPr>
                <w:sz w:val="18"/>
                <w:szCs w:val="18"/>
              </w:rPr>
              <w:t>N/A</w:t>
            </w:r>
            <w:r w:rsidRPr="00E3410E">
              <w:rPr>
                <w:sz w:val="18"/>
                <w:szCs w:val="18"/>
                <w:vertAlign w:val="superscript"/>
              </w:rPr>
              <w:t>Note 2</w:t>
            </w:r>
          </w:p>
        </w:tc>
      </w:tr>
      <w:tr w:rsidR="004A01E4" w:rsidRPr="007F1EF5" w:rsidTr="002E3D0B">
        <w:trPr>
          <w:trHeight w:val="563"/>
        </w:trPr>
        <w:tc>
          <w:tcPr>
            <w:tcW w:w="2645" w:type="dxa"/>
            <w:vMerge/>
            <w:shd w:val="clear" w:color="auto" w:fill="auto"/>
          </w:tcPr>
          <w:p w:rsidR="004A01E4" w:rsidRPr="008E54E5" w:rsidRDefault="004A01E4" w:rsidP="002E3D0B">
            <w:pPr>
              <w:jc w:val="both"/>
              <w:rPr>
                <w:color w:val="000000"/>
                <w:sz w:val="18"/>
                <w:szCs w:val="18"/>
              </w:rPr>
            </w:pPr>
          </w:p>
        </w:tc>
        <w:tc>
          <w:tcPr>
            <w:tcW w:w="3255" w:type="dxa"/>
            <w:shd w:val="clear" w:color="auto" w:fill="auto"/>
          </w:tcPr>
          <w:p w:rsidR="004A01E4" w:rsidRPr="008E54E5" w:rsidRDefault="004A01E4" w:rsidP="002E3D0B">
            <w:pPr>
              <w:spacing w:after="0"/>
              <w:jc w:val="both"/>
              <w:rPr>
                <w:sz w:val="18"/>
                <w:szCs w:val="18"/>
              </w:rPr>
            </w:pPr>
            <w:r>
              <w:rPr>
                <w:sz w:val="18"/>
                <w:szCs w:val="18"/>
              </w:rPr>
              <w:t>TA</w:t>
            </w:r>
          </w:p>
        </w:tc>
        <w:tc>
          <w:tcPr>
            <w:tcW w:w="1695" w:type="dxa"/>
            <w:gridSpan w:val="3"/>
          </w:tcPr>
          <w:p w:rsidR="004A01E4" w:rsidRDefault="004A01E4" w:rsidP="002E3D0B">
            <w:pPr>
              <w:spacing w:after="0"/>
              <w:ind w:left="38"/>
              <w:jc w:val="both"/>
              <w:rPr>
                <w:sz w:val="18"/>
                <w:szCs w:val="18"/>
              </w:rPr>
            </w:pPr>
            <w:r>
              <w:rPr>
                <w:sz w:val="18"/>
                <w:szCs w:val="18"/>
              </w:rPr>
              <w:t>Depends on agreements in other groups</w:t>
            </w:r>
          </w:p>
        </w:tc>
        <w:tc>
          <w:tcPr>
            <w:tcW w:w="1585" w:type="dxa"/>
          </w:tcPr>
          <w:p w:rsidR="004A01E4" w:rsidRDefault="004A01E4" w:rsidP="002E3D0B">
            <w:pPr>
              <w:spacing w:after="0"/>
              <w:ind w:left="38"/>
              <w:jc w:val="both"/>
              <w:rPr>
                <w:sz w:val="18"/>
                <w:szCs w:val="18"/>
              </w:rPr>
            </w:pPr>
            <w:r>
              <w:rPr>
                <w:sz w:val="18"/>
                <w:szCs w:val="18"/>
              </w:rPr>
              <w:t>Yes</w:t>
            </w:r>
          </w:p>
        </w:tc>
        <w:tc>
          <w:tcPr>
            <w:tcW w:w="1560" w:type="dxa"/>
          </w:tcPr>
          <w:p w:rsidR="004A01E4" w:rsidRDefault="004A01E4" w:rsidP="002E3D0B">
            <w:pPr>
              <w:spacing w:after="0"/>
              <w:jc w:val="both"/>
              <w:rPr>
                <w:sz w:val="18"/>
                <w:szCs w:val="18"/>
              </w:rPr>
            </w:pPr>
            <w:r>
              <w:rPr>
                <w:sz w:val="18"/>
                <w:szCs w:val="18"/>
              </w:rPr>
              <w:t>Yes</w:t>
            </w:r>
          </w:p>
        </w:tc>
      </w:tr>
      <w:tr w:rsidR="004A01E4" w:rsidRPr="007F1EF5" w:rsidTr="002E3D0B">
        <w:tc>
          <w:tcPr>
            <w:tcW w:w="10740" w:type="dxa"/>
            <w:gridSpan w:val="7"/>
            <w:shd w:val="clear" w:color="auto" w:fill="auto"/>
          </w:tcPr>
          <w:p w:rsidR="004A01E4" w:rsidRDefault="004A01E4" w:rsidP="002E3D0B">
            <w:pPr>
              <w:spacing w:after="0"/>
              <w:jc w:val="both"/>
              <w:rPr>
                <w:sz w:val="18"/>
                <w:szCs w:val="18"/>
              </w:rPr>
            </w:pPr>
            <w:r w:rsidRPr="008E54E5">
              <w:rPr>
                <w:sz w:val="18"/>
                <w:szCs w:val="18"/>
              </w:rPr>
              <w:t xml:space="preserve">NOTE </w:t>
            </w:r>
            <w:r>
              <w:rPr>
                <w:sz w:val="18"/>
                <w:szCs w:val="18"/>
              </w:rPr>
              <w:t>1</w:t>
            </w:r>
            <w:r w:rsidRPr="008E54E5">
              <w:rPr>
                <w:sz w:val="18"/>
                <w:szCs w:val="18"/>
              </w:rPr>
              <w:t>: Other requirements are not precluded.</w:t>
            </w:r>
          </w:p>
          <w:p w:rsidR="004A01E4" w:rsidRDefault="004A01E4" w:rsidP="002E3D0B">
            <w:pPr>
              <w:spacing w:after="0"/>
              <w:jc w:val="both"/>
              <w:rPr>
                <w:sz w:val="18"/>
                <w:szCs w:val="18"/>
              </w:rPr>
            </w:pPr>
            <w:r w:rsidRPr="008E54E5">
              <w:rPr>
                <w:sz w:val="18"/>
                <w:szCs w:val="18"/>
              </w:rPr>
              <w:t xml:space="preserve">NOTE </w:t>
            </w:r>
            <w:r>
              <w:rPr>
                <w:sz w:val="18"/>
                <w:szCs w:val="18"/>
              </w:rPr>
              <w:t>2</w:t>
            </w:r>
            <w:r w:rsidRPr="008E54E5">
              <w:rPr>
                <w:sz w:val="18"/>
                <w:szCs w:val="18"/>
              </w:rPr>
              <w:t xml:space="preserve">: </w:t>
            </w:r>
            <w:r>
              <w:rPr>
                <w:sz w:val="18"/>
                <w:szCs w:val="18"/>
              </w:rPr>
              <w:t>For Scenario B with CA support and Scenario C with CA support, also the RRM requirements outlined for NR-U SCell apply</w:t>
            </w:r>
            <w:r w:rsidRPr="008E54E5">
              <w:rPr>
                <w:sz w:val="18"/>
                <w:szCs w:val="18"/>
              </w:rPr>
              <w:t>.</w:t>
            </w:r>
          </w:p>
          <w:p w:rsidR="004A01E4" w:rsidRDefault="004A01E4" w:rsidP="002E3D0B">
            <w:pPr>
              <w:spacing w:after="0"/>
              <w:jc w:val="both"/>
              <w:rPr>
                <w:sz w:val="18"/>
                <w:szCs w:val="18"/>
              </w:rPr>
            </w:pPr>
            <w:r>
              <w:rPr>
                <w:sz w:val="18"/>
                <w:szCs w:val="18"/>
              </w:rPr>
              <w:t>NOTE 3: Requirements for CSI-RS based measurements and procedures are still subject to further decisions in other groups. SSB-based measurements and procedures may need to be prioritized, at least initially.</w:t>
            </w:r>
          </w:p>
          <w:p w:rsidR="004A01E4" w:rsidRPr="008E54E5" w:rsidRDefault="004A01E4" w:rsidP="002E3D0B">
            <w:pPr>
              <w:spacing w:after="0"/>
              <w:jc w:val="both"/>
              <w:rPr>
                <w:sz w:val="18"/>
                <w:szCs w:val="18"/>
              </w:rPr>
            </w:pPr>
            <w:r>
              <w:rPr>
                <w:sz w:val="18"/>
                <w:szCs w:val="18"/>
              </w:rPr>
              <w:t>NOTE 4: It is up to further RAN4 discussion whether and for which of the listed requirements Rel-15 NR requirements could be reused or whether new requirements need to be specified to account for the NR-UE impact.</w:t>
            </w:r>
          </w:p>
        </w:tc>
      </w:tr>
    </w:tbl>
    <w:p w:rsidR="006B6666" w:rsidRDefault="004A01E4" w:rsidP="006B6666">
      <w:pPr>
        <w:rPr>
          <w:lang w:val="en-US" w:eastAsia="zh-CN"/>
        </w:rPr>
      </w:pPr>
      <w:r w:rsidRPr="004A01E4">
        <w:rPr>
          <w:lang w:val="en-US" w:eastAsia="zh-CN"/>
        </w:rPr>
        <w:t xml:space="preserve"> </w:t>
      </w:r>
    </w:p>
    <w:p w:rsidR="00524D09" w:rsidRDefault="00524D09" w:rsidP="006B6666">
      <w:pPr>
        <w:rPr>
          <w:lang w:val="en-US" w:eastAsia="zh-CN"/>
        </w:rPr>
      </w:pPr>
      <w:r>
        <w:rPr>
          <w:lang w:val="en-US" w:eastAsia="zh-CN"/>
        </w:rPr>
        <w:t>Since scenario C refers  to standalone NR-U, the necessary requirements are extensive. In many cases the same NR-U requirement could be used in all scenarios A-C, for example measurement procedures and measurement accuracy for NR-U measurements are likely to be similar or the same across all 3 scenarios. In other cases, requirements may be different depending on the scenario – an example of this may be interruption requirements which are quite scenario dependent.</w:t>
      </w:r>
    </w:p>
    <w:p w:rsidR="00524D09" w:rsidRDefault="00524D09" w:rsidP="006B6666">
      <w:pPr>
        <w:rPr>
          <w:lang w:val="en-US" w:eastAsia="zh-CN"/>
        </w:rPr>
      </w:pPr>
      <w:r>
        <w:rPr>
          <w:lang w:val="en-US" w:eastAsia="zh-CN"/>
        </w:rPr>
        <w:t xml:space="preserve">Generally, RAN4 should further identify which requirements are scenario dependent, which requirements may be generic for an NR-U carrier, and which requirements are identical between </w:t>
      </w:r>
      <w:r w:rsidR="009D120B">
        <w:rPr>
          <w:lang w:val="en-US" w:eastAsia="zh-CN"/>
        </w:rPr>
        <w:t>licensed</w:t>
      </w:r>
      <w:r>
        <w:rPr>
          <w:lang w:val="en-US" w:eastAsia="zh-CN"/>
        </w:rPr>
        <w:t xml:space="preserve"> and </w:t>
      </w:r>
      <w:r w:rsidR="009D120B">
        <w:rPr>
          <w:lang w:val="en-US" w:eastAsia="zh-CN"/>
        </w:rPr>
        <w:t>unlicensed</w:t>
      </w:r>
      <w:r>
        <w:rPr>
          <w:lang w:val="en-US" w:eastAsia="zh-CN"/>
        </w:rPr>
        <w:t xml:space="preserve"> carriers.</w:t>
      </w:r>
    </w:p>
    <w:p w:rsidR="003F1E27" w:rsidRDefault="003F1E27" w:rsidP="006B6666">
      <w:pPr>
        <w:rPr>
          <w:b/>
          <w:lang w:val="en-US" w:eastAsia="zh-CN"/>
        </w:rPr>
      </w:pPr>
      <w:r>
        <w:rPr>
          <w:b/>
          <w:lang w:val="en-US" w:eastAsia="zh-CN"/>
        </w:rPr>
        <w:t xml:space="preserve">Proposal </w:t>
      </w:r>
      <w:r w:rsidR="006A7E5D">
        <w:rPr>
          <w:b/>
          <w:lang w:val="en-US" w:eastAsia="zh-CN"/>
        </w:rPr>
        <w:t>2</w:t>
      </w:r>
      <w:r>
        <w:rPr>
          <w:b/>
          <w:lang w:val="en-US" w:eastAsia="zh-CN"/>
        </w:rPr>
        <w:t xml:space="preserve">: To further refine specification structure it is necessary to better understand </w:t>
      </w:r>
      <w:r w:rsidRPr="003F1E27">
        <w:rPr>
          <w:b/>
          <w:lang w:val="en-US" w:eastAsia="zh-CN"/>
        </w:rPr>
        <w:t xml:space="preserve">which requirements </w:t>
      </w:r>
      <w:r w:rsidR="009D120B" w:rsidRPr="003F1E27">
        <w:rPr>
          <w:b/>
          <w:lang w:val="en-US" w:eastAsia="zh-CN"/>
        </w:rPr>
        <w:t>scenario dependent, which requirements are</w:t>
      </w:r>
      <w:r w:rsidRPr="003F1E27">
        <w:rPr>
          <w:b/>
          <w:lang w:val="en-US" w:eastAsia="zh-CN"/>
        </w:rPr>
        <w:t xml:space="preserve"> generic for an NR-U carrier</w:t>
      </w:r>
      <w:r w:rsidR="002D2BF5">
        <w:rPr>
          <w:b/>
          <w:lang w:val="en-US" w:eastAsia="zh-CN"/>
        </w:rPr>
        <w:t xml:space="preserve"> in different scenarios</w:t>
      </w:r>
      <w:r w:rsidRPr="003F1E27">
        <w:rPr>
          <w:b/>
          <w:lang w:val="en-US" w:eastAsia="zh-CN"/>
        </w:rPr>
        <w:t xml:space="preserve">, and which requirements are identical between </w:t>
      </w:r>
      <w:r w:rsidR="009D120B" w:rsidRPr="003F1E27">
        <w:rPr>
          <w:b/>
          <w:lang w:val="en-US" w:eastAsia="zh-CN"/>
        </w:rPr>
        <w:t>licensed</w:t>
      </w:r>
      <w:r w:rsidRPr="003F1E27">
        <w:rPr>
          <w:b/>
          <w:lang w:val="en-US" w:eastAsia="zh-CN"/>
        </w:rPr>
        <w:t xml:space="preserve"> and </w:t>
      </w:r>
      <w:r w:rsidR="009D120B" w:rsidRPr="003F1E27">
        <w:rPr>
          <w:b/>
          <w:lang w:val="en-US" w:eastAsia="zh-CN"/>
        </w:rPr>
        <w:t>unlicensed</w:t>
      </w:r>
      <w:r w:rsidRPr="003F1E27">
        <w:rPr>
          <w:b/>
          <w:lang w:val="en-US" w:eastAsia="zh-CN"/>
        </w:rPr>
        <w:t xml:space="preserve"> carriers</w:t>
      </w:r>
    </w:p>
    <w:p w:rsidR="003F1E27" w:rsidRDefault="002D2BF5" w:rsidP="006B6666">
      <w:pPr>
        <w:rPr>
          <w:lang w:val="en-US" w:eastAsia="zh-CN"/>
        </w:rPr>
      </w:pPr>
      <w:r>
        <w:rPr>
          <w:lang w:val="en-US" w:eastAsia="zh-CN"/>
        </w:rPr>
        <w:t>In RAN4#90bis, there was discussion on developing a dedicated chapter for NR-U requirements in 38.133. We do not think this is a good way to proceed for a number of reasons.</w:t>
      </w:r>
    </w:p>
    <w:p w:rsidR="002D2BF5" w:rsidRDefault="002D2BF5" w:rsidP="002D2BF5">
      <w:pPr>
        <w:numPr>
          <w:ilvl w:val="0"/>
          <w:numId w:val="42"/>
        </w:numPr>
        <w:rPr>
          <w:lang w:val="en-US" w:eastAsia="zh-CN"/>
        </w:rPr>
      </w:pPr>
      <w:r>
        <w:rPr>
          <w:lang w:val="en-US" w:eastAsia="zh-CN"/>
        </w:rPr>
        <w:t xml:space="preserve">Since standalone NR-U operation needs to be defined (scenario C) the standalone chapter will be very </w:t>
      </w:r>
      <w:r w:rsidR="009D120B">
        <w:rPr>
          <w:lang w:val="en-US" w:eastAsia="zh-CN"/>
        </w:rPr>
        <w:t>long and</w:t>
      </w:r>
      <w:r>
        <w:rPr>
          <w:lang w:val="en-US" w:eastAsia="zh-CN"/>
        </w:rPr>
        <w:t xml:space="preserve"> may indeed become comparable in size as the rest of the chapters in 38.133 put together. Moreover, all of scenarios A-E</w:t>
      </w:r>
    </w:p>
    <w:p w:rsidR="002D2BF5" w:rsidRDefault="002D2BF5" w:rsidP="002D2BF5">
      <w:pPr>
        <w:numPr>
          <w:ilvl w:val="0"/>
          <w:numId w:val="42"/>
        </w:numPr>
        <w:rPr>
          <w:lang w:val="en-US" w:eastAsia="zh-CN"/>
        </w:rPr>
      </w:pPr>
      <w:r>
        <w:rPr>
          <w:lang w:val="en-US" w:eastAsia="zh-CN"/>
        </w:rPr>
        <w:t xml:space="preserve">In all but scenario C, the NR-U operation also depends on </w:t>
      </w:r>
      <w:r w:rsidR="009D120B">
        <w:rPr>
          <w:lang w:val="en-US" w:eastAsia="zh-CN"/>
        </w:rPr>
        <w:t>joint</w:t>
      </w:r>
      <w:r>
        <w:rPr>
          <w:lang w:val="en-US" w:eastAsia="zh-CN"/>
        </w:rPr>
        <w:t xml:space="preserve"> operation of </w:t>
      </w:r>
      <w:r w:rsidR="009D120B">
        <w:rPr>
          <w:lang w:val="en-US" w:eastAsia="zh-CN"/>
        </w:rPr>
        <w:t>unlicensed</w:t>
      </w:r>
      <w:r>
        <w:rPr>
          <w:lang w:val="en-US" w:eastAsia="zh-CN"/>
        </w:rPr>
        <w:t xml:space="preserve"> and </w:t>
      </w:r>
      <w:r w:rsidR="009D120B">
        <w:rPr>
          <w:lang w:val="en-US" w:eastAsia="zh-CN"/>
        </w:rPr>
        <w:t>licensed</w:t>
      </w:r>
      <w:r>
        <w:rPr>
          <w:lang w:val="en-US" w:eastAsia="zh-CN"/>
        </w:rPr>
        <w:t xml:space="preserve"> carriers. </w:t>
      </w:r>
      <w:r w:rsidR="009D120B">
        <w:rPr>
          <w:lang w:val="en-US" w:eastAsia="zh-CN"/>
        </w:rPr>
        <w:t>Licensed</w:t>
      </w:r>
      <w:r>
        <w:rPr>
          <w:lang w:val="en-US" w:eastAsia="zh-CN"/>
        </w:rPr>
        <w:t xml:space="preserve"> carriers have their own RRM requirements, and also there are requirements such as CSSF_within_gap scaling which depend jointly on all the carriers configured to a UE. Putting NR-U requirements in a dedicated chapter makes it difficult to integrate NR-U and non NR-U requirements and to specify the overall UE RRM requirements.</w:t>
      </w:r>
    </w:p>
    <w:p w:rsidR="00A6588A" w:rsidRDefault="00A6588A" w:rsidP="00A6588A">
      <w:pPr>
        <w:rPr>
          <w:lang w:val="en-US" w:eastAsia="zh-CN"/>
        </w:rPr>
      </w:pPr>
      <w:r w:rsidRPr="00A6588A">
        <w:rPr>
          <w:lang w:val="en-US" w:eastAsia="zh-CN"/>
        </w:rPr>
        <w:lastRenderedPageBreak/>
        <w:t xml:space="preserve">Generally, </w:t>
      </w:r>
      <w:r w:rsidR="00FF0AF9">
        <w:rPr>
          <w:lang w:val="en-US" w:eastAsia="zh-CN"/>
        </w:rPr>
        <w:t xml:space="preserve">the status in RAN1 and RAN2 means that it is still a bit early to determine suitable terminology for NR-U </w:t>
      </w:r>
      <w:r w:rsidR="009D120B">
        <w:rPr>
          <w:lang w:val="en-US" w:eastAsia="zh-CN"/>
        </w:rPr>
        <w:t>sub features</w:t>
      </w:r>
      <w:r w:rsidR="00FF0AF9">
        <w:rPr>
          <w:lang w:val="en-US" w:eastAsia="zh-CN"/>
        </w:rPr>
        <w:t>.</w:t>
      </w:r>
      <w:r w:rsidRPr="00A6588A">
        <w:rPr>
          <w:lang w:val="en-US" w:eastAsia="zh-CN"/>
        </w:rPr>
        <w:t xml:space="preserve"> </w:t>
      </w:r>
    </w:p>
    <w:p w:rsidR="006A7E5D" w:rsidRPr="00A6588A" w:rsidRDefault="006A7E5D" w:rsidP="00A6588A">
      <w:pPr>
        <w:rPr>
          <w:lang w:val="en-US" w:eastAsia="zh-CN"/>
        </w:rPr>
      </w:pPr>
      <w:r>
        <w:rPr>
          <w:lang w:val="en-US" w:eastAsia="zh-CN"/>
        </w:rPr>
        <w:t>In our earlier contribution on specification structure we proposed to have new sections containing subsections for NR-U scenarios A-E. One concern for this approach is that it may lead to a lot of duplicated requirements (or at least cross referencing) since in many cases it can be anticipated that for NR-U carriers the requirements are the same or similar. Hence, we think that by default, sections could be added within the chapters of 38.133 (and 36.133 for scenario B) adding more generic requirements for NR-U measurements. If requirements are scenario specific, they can be addressed by subsections for each scenario.</w:t>
      </w:r>
    </w:p>
    <w:p w:rsidR="006A7E5D" w:rsidRDefault="009D120B" w:rsidP="00A6588A">
      <w:pPr>
        <w:rPr>
          <w:lang w:val="en-US" w:eastAsia="zh-CN"/>
        </w:rPr>
      </w:pPr>
      <w:r>
        <w:rPr>
          <w:lang w:val="en-US" w:eastAsia="zh-CN"/>
        </w:rPr>
        <w:t>Therefore,</w:t>
      </w:r>
      <w:r w:rsidR="006A7E5D">
        <w:rPr>
          <w:lang w:val="en-US" w:eastAsia="zh-CN"/>
        </w:rPr>
        <w:t xml:space="preserve"> we propose</w:t>
      </w:r>
    </w:p>
    <w:p w:rsidR="006A7E5D" w:rsidRDefault="006A7E5D" w:rsidP="00A6588A">
      <w:pPr>
        <w:rPr>
          <w:b/>
          <w:lang w:val="en-US" w:eastAsia="zh-CN"/>
        </w:rPr>
      </w:pPr>
      <w:r>
        <w:rPr>
          <w:b/>
          <w:lang w:val="en-US" w:eastAsia="zh-CN"/>
        </w:rPr>
        <w:t xml:space="preserve">Proposal 3: Where possible, generic NR-U sections should be introduced within the chapters of 38.133 to introduce requirements for RRM operations with </w:t>
      </w:r>
      <w:r w:rsidR="009D120B">
        <w:rPr>
          <w:b/>
          <w:lang w:val="en-US" w:eastAsia="zh-CN"/>
        </w:rPr>
        <w:t>unlicensed</w:t>
      </w:r>
      <w:r>
        <w:rPr>
          <w:b/>
          <w:lang w:val="en-US" w:eastAsia="zh-CN"/>
        </w:rPr>
        <w:t xml:space="preserve"> carriers</w:t>
      </w:r>
    </w:p>
    <w:p w:rsidR="00117396" w:rsidRDefault="006A7E5D" w:rsidP="00A6588A">
      <w:pPr>
        <w:rPr>
          <w:b/>
          <w:lang w:val="en-US" w:eastAsia="zh-CN"/>
        </w:rPr>
      </w:pPr>
      <w:r w:rsidRPr="006A7E5D">
        <w:rPr>
          <w:b/>
          <w:lang w:val="en-US" w:eastAsia="zh-CN"/>
        </w:rPr>
        <w:t>Proposal 4</w:t>
      </w:r>
      <w:r>
        <w:rPr>
          <w:b/>
          <w:lang w:val="en-US" w:eastAsia="zh-CN"/>
        </w:rPr>
        <w:t xml:space="preserve">: </w:t>
      </w:r>
      <w:r w:rsidR="00117396">
        <w:rPr>
          <w:b/>
          <w:lang w:val="en-US" w:eastAsia="zh-CN"/>
        </w:rPr>
        <w:t>Where proposal 3 is not feasible, subsections for different scenario dependent requirements may be introduced</w:t>
      </w:r>
    </w:p>
    <w:p w:rsidR="006A7E5D" w:rsidRDefault="00117396" w:rsidP="00A6588A">
      <w:pPr>
        <w:rPr>
          <w:lang w:val="en-US" w:eastAsia="zh-CN"/>
        </w:rPr>
      </w:pPr>
      <w:r w:rsidRPr="00117396">
        <w:rPr>
          <w:lang w:val="en-US" w:eastAsia="zh-CN"/>
        </w:rPr>
        <w:t>One</w:t>
      </w:r>
      <w:r>
        <w:rPr>
          <w:lang w:val="en-US" w:eastAsia="zh-CN"/>
        </w:rPr>
        <w:t xml:space="preserve"> aspect which is very important is the applicability of requirements, which could easily become very confusing given the diverse range of requirements contained in 38.133. Already 38.133 includes RRM requirements for EN-DC, SA (including CA), NR DC and EN-DC. If NR-U requirements for 5 scenarios A-E are added on top of this, it can be hard to find and know exactly which requirements are applicable to a certain UE configuration.</w:t>
      </w:r>
    </w:p>
    <w:p w:rsidR="00117396" w:rsidRDefault="00117396" w:rsidP="00A6588A">
      <w:pPr>
        <w:rPr>
          <w:lang w:val="en-US" w:eastAsia="zh-CN"/>
        </w:rPr>
      </w:pPr>
      <w:r>
        <w:rPr>
          <w:lang w:val="en-US" w:eastAsia="zh-CN"/>
        </w:rPr>
        <w:t xml:space="preserve">To address </w:t>
      </w:r>
      <w:r w:rsidR="009D120B">
        <w:rPr>
          <w:lang w:val="en-US" w:eastAsia="zh-CN"/>
        </w:rPr>
        <w:t>this,</w:t>
      </w:r>
      <w:r>
        <w:rPr>
          <w:lang w:val="en-US" w:eastAsia="zh-CN"/>
        </w:rPr>
        <w:t xml:space="preserve"> we propose</w:t>
      </w:r>
    </w:p>
    <w:p w:rsidR="00117396" w:rsidRDefault="009D120B" w:rsidP="00A6588A">
      <w:pPr>
        <w:rPr>
          <w:b/>
          <w:lang w:val="en-US" w:eastAsia="zh-CN"/>
        </w:rPr>
      </w:pPr>
      <w:r>
        <w:rPr>
          <w:b/>
          <w:lang w:val="en-US" w:eastAsia="zh-CN"/>
        </w:rPr>
        <w:t>Proposal</w:t>
      </w:r>
      <w:r w:rsidR="00117396">
        <w:rPr>
          <w:b/>
          <w:lang w:val="en-US" w:eastAsia="zh-CN"/>
        </w:rPr>
        <w:t xml:space="preserve"> 5: For each of scenarios A-E, detailed applicability rules and tables are developed which indicate all the applicable requirements for operation with a certain scenario</w:t>
      </w:r>
    </w:p>
    <w:p w:rsidR="00117396" w:rsidRPr="00117396" w:rsidRDefault="00117396" w:rsidP="00A6588A">
      <w:pPr>
        <w:rPr>
          <w:lang w:val="en-US" w:eastAsia="zh-CN"/>
        </w:rPr>
      </w:pPr>
      <w:r>
        <w:rPr>
          <w:lang w:val="en-US" w:eastAsia="zh-CN"/>
        </w:rPr>
        <w:t>Finally, a similar approach should be used in 36.133</w:t>
      </w:r>
    </w:p>
    <w:p w:rsidR="00A6588A" w:rsidRPr="00FD7C2B" w:rsidRDefault="00A6588A" w:rsidP="00A6588A">
      <w:pPr>
        <w:rPr>
          <w:b/>
          <w:lang w:val="en-US" w:eastAsia="zh-CN"/>
        </w:rPr>
      </w:pPr>
      <w:r w:rsidRPr="00452334">
        <w:rPr>
          <w:b/>
          <w:lang w:val="en-US" w:eastAsia="zh-CN"/>
        </w:rPr>
        <w:t xml:space="preserve">Proposal </w:t>
      </w:r>
      <w:r w:rsidR="00117396">
        <w:rPr>
          <w:b/>
          <w:lang w:val="en-US" w:eastAsia="zh-CN"/>
        </w:rPr>
        <w:t>6</w:t>
      </w:r>
      <w:r w:rsidRPr="00452334">
        <w:rPr>
          <w:b/>
          <w:lang w:val="en-US" w:eastAsia="zh-CN"/>
        </w:rPr>
        <w:t>: LTE requirements for scenario B are included in 36.133 following a similar approach as for 38.133</w:t>
      </w:r>
    </w:p>
    <w:p w:rsidR="00A6588A" w:rsidRPr="002D2BF5" w:rsidRDefault="00A6588A" w:rsidP="00A6588A">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117396" w:rsidRPr="006A7E5D" w:rsidRDefault="00117396" w:rsidP="00117396">
      <w:pPr>
        <w:rPr>
          <w:b/>
          <w:lang w:val="en-US" w:eastAsia="zh-CN"/>
        </w:rPr>
      </w:pPr>
      <w:r>
        <w:rPr>
          <w:b/>
          <w:lang w:val="en-US" w:eastAsia="zh-CN"/>
        </w:rPr>
        <w:t>Proposal 1: Further work is performed to align terminology across different WG specifications</w:t>
      </w:r>
    </w:p>
    <w:p w:rsidR="00117396" w:rsidRDefault="00117396" w:rsidP="00117396">
      <w:pPr>
        <w:rPr>
          <w:b/>
          <w:lang w:val="en-US" w:eastAsia="zh-CN"/>
        </w:rPr>
      </w:pPr>
      <w:r>
        <w:rPr>
          <w:b/>
          <w:lang w:val="en-US" w:eastAsia="zh-CN"/>
        </w:rPr>
        <w:t xml:space="preserve">Proposal 2: To further refine specification structure it is necessary to better understand </w:t>
      </w:r>
      <w:r w:rsidRPr="003F1E27">
        <w:rPr>
          <w:b/>
          <w:lang w:val="en-US" w:eastAsia="zh-CN"/>
        </w:rPr>
        <w:t xml:space="preserve">which requirements </w:t>
      </w:r>
      <w:r w:rsidR="009D120B" w:rsidRPr="003F1E27">
        <w:rPr>
          <w:b/>
          <w:lang w:val="en-US" w:eastAsia="zh-CN"/>
        </w:rPr>
        <w:t>scenario dependent, which requirements are</w:t>
      </w:r>
      <w:r w:rsidRPr="003F1E27">
        <w:rPr>
          <w:b/>
          <w:lang w:val="en-US" w:eastAsia="zh-CN"/>
        </w:rPr>
        <w:t xml:space="preserve"> generic for an NR-U carrier</w:t>
      </w:r>
      <w:r>
        <w:rPr>
          <w:b/>
          <w:lang w:val="en-US" w:eastAsia="zh-CN"/>
        </w:rPr>
        <w:t xml:space="preserve"> in different scenarios</w:t>
      </w:r>
      <w:r w:rsidRPr="003F1E27">
        <w:rPr>
          <w:b/>
          <w:lang w:val="en-US" w:eastAsia="zh-CN"/>
        </w:rPr>
        <w:t xml:space="preserve">, and which requirements are identical between </w:t>
      </w:r>
      <w:r w:rsidR="009D120B" w:rsidRPr="003F1E27">
        <w:rPr>
          <w:b/>
          <w:lang w:val="en-US" w:eastAsia="zh-CN"/>
        </w:rPr>
        <w:t>licensed</w:t>
      </w:r>
      <w:r w:rsidRPr="003F1E27">
        <w:rPr>
          <w:b/>
          <w:lang w:val="en-US" w:eastAsia="zh-CN"/>
        </w:rPr>
        <w:t xml:space="preserve"> and </w:t>
      </w:r>
      <w:r w:rsidR="009D120B" w:rsidRPr="003F1E27">
        <w:rPr>
          <w:b/>
          <w:lang w:val="en-US" w:eastAsia="zh-CN"/>
        </w:rPr>
        <w:t>unlicensed</w:t>
      </w:r>
      <w:r w:rsidRPr="003F1E27">
        <w:rPr>
          <w:b/>
          <w:lang w:val="en-US" w:eastAsia="zh-CN"/>
        </w:rPr>
        <w:t xml:space="preserve"> carriers</w:t>
      </w:r>
    </w:p>
    <w:p w:rsidR="00117396" w:rsidRDefault="00117396" w:rsidP="00117396">
      <w:pPr>
        <w:rPr>
          <w:b/>
          <w:lang w:val="en-US" w:eastAsia="zh-CN"/>
        </w:rPr>
      </w:pPr>
      <w:r>
        <w:rPr>
          <w:b/>
          <w:lang w:val="en-US" w:eastAsia="zh-CN"/>
        </w:rPr>
        <w:t xml:space="preserve">Proposal 3: Where possible, generic NR-U sections should be introduced within the chapters of 38.133 to introduce requirements for RRM operations with </w:t>
      </w:r>
      <w:r w:rsidR="009D120B">
        <w:rPr>
          <w:b/>
          <w:lang w:val="en-US" w:eastAsia="zh-CN"/>
        </w:rPr>
        <w:t>unlicensed</w:t>
      </w:r>
      <w:r>
        <w:rPr>
          <w:b/>
          <w:lang w:val="en-US" w:eastAsia="zh-CN"/>
        </w:rPr>
        <w:t xml:space="preserve"> carriers</w:t>
      </w:r>
    </w:p>
    <w:p w:rsidR="00117396" w:rsidRDefault="00117396" w:rsidP="00117396">
      <w:pPr>
        <w:rPr>
          <w:b/>
          <w:lang w:val="en-US" w:eastAsia="zh-CN"/>
        </w:rPr>
      </w:pPr>
      <w:r w:rsidRPr="006A7E5D">
        <w:rPr>
          <w:b/>
          <w:lang w:val="en-US" w:eastAsia="zh-CN"/>
        </w:rPr>
        <w:t>Proposal 4</w:t>
      </w:r>
      <w:r>
        <w:rPr>
          <w:b/>
          <w:lang w:val="en-US" w:eastAsia="zh-CN"/>
        </w:rPr>
        <w:t>: Where proposal 3 is not feasible, subsections for different scenario dependent requirements may be introduced</w:t>
      </w:r>
    </w:p>
    <w:p w:rsidR="00117396" w:rsidRDefault="009D120B" w:rsidP="00117396">
      <w:pPr>
        <w:rPr>
          <w:b/>
          <w:lang w:val="en-US" w:eastAsia="zh-CN"/>
        </w:rPr>
      </w:pPr>
      <w:r>
        <w:rPr>
          <w:b/>
          <w:lang w:val="en-US" w:eastAsia="zh-CN"/>
        </w:rPr>
        <w:t>Proposal</w:t>
      </w:r>
      <w:r w:rsidR="00117396">
        <w:rPr>
          <w:b/>
          <w:lang w:val="en-US" w:eastAsia="zh-CN"/>
        </w:rPr>
        <w:t xml:space="preserve"> 5: For each of scenarios A-E, detailed applicability rules and tables are developed which indicate all the applicable requirements for operation with a certain scenario</w:t>
      </w:r>
    </w:p>
    <w:p w:rsidR="004A01E4" w:rsidRPr="004A01E4" w:rsidRDefault="00117396" w:rsidP="00117396">
      <w:pPr>
        <w:rPr>
          <w:lang w:val="en-US" w:eastAsia="zh-CN"/>
        </w:rPr>
      </w:pPr>
      <w:r w:rsidRPr="00452334">
        <w:rPr>
          <w:b/>
          <w:lang w:val="en-US" w:eastAsia="zh-CN"/>
        </w:rPr>
        <w:t xml:space="preserve">Proposal </w:t>
      </w:r>
      <w:r>
        <w:rPr>
          <w:b/>
          <w:lang w:val="en-US" w:eastAsia="zh-CN"/>
        </w:rPr>
        <w:t>6</w:t>
      </w:r>
      <w:r w:rsidRPr="00452334">
        <w:rPr>
          <w:b/>
          <w:lang w:val="en-US" w:eastAsia="zh-CN"/>
        </w:rPr>
        <w:t>: LTE requirements for scenario B are included in 36.133 following a similar approach as for 38.</w:t>
      </w: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208BE" w:rsidRPr="00C904B5" w:rsidRDefault="008505EC" w:rsidP="004A01E4">
      <w:pPr>
        <w:pStyle w:val="3GPPNormalText"/>
        <w:numPr>
          <w:ilvl w:val="0"/>
          <w:numId w:val="5"/>
        </w:numPr>
        <w:rPr>
          <w:szCs w:val="20"/>
          <w:lang w:eastAsia="zh-CN"/>
        </w:rPr>
      </w:pPr>
      <w:bookmarkStart w:id="2" w:name="_Ref7010000"/>
      <w:r w:rsidRPr="008505EC">
        <w:rPr>
          <w:szCs w:val="20"/>
          <w:lang w:eastAsia="zh-CN"/>
        </w:rPr>
        <w:t>R4-1</w:t>
      </w:r>
      <w:r w:rsidR="004A01E4">
        <w:rPr>
          <w:szCs w:val="20"/>
          <w:lang w:eastAsia="zh-CN"/>
        </w:rPr>
        <w:t>904825</w:t>
      </w:r>
      <w:r w:rsidRPr="008505EC">
        <w:rPr>
          <w:szCs w:val="20"/>
          <w:lang w:eastAsia="zh-CN"/>
        </w:rPr>
        <w:t>, “</w:t>
      </w:r>
      <w:r w:rsidR="004A01E4" w:rsidRPr="004A01E4">
        <w:rPr>
          <w:szCs w:val="20"/>
          <w:lang w:eastAsia="zh-CN"/>
        </w:rPr>
        <w:t>WF on RRM requirements in NR-</w:t>
      </w:r>
      <w:r w:rsidR="004A01E4">
        <w:rPr>
          <w:szCs w:val="20"/>
          <w:lang w:eastAsia="zh-CN"/>
        </w:rPr>
        <w:t>U</w:t>
      </w:r>
      <w:r>
        <w:rPr>
          <w:szCs w:val="20"/>
          <w:lang w:eastAsia="zh-CN"/>
        </w:rPr>
        <w:t xml:space="preserve">”, </w:t>
      </w:r>
      <w:r w:rsidR="004A01E4">
        <w:rPr>
          <w:szCs w:val="20"/>
          <w:lang w:eastAsia="zh-CN"/>
        </w:rPr>
        <w:t>Ericsson, Nokia</w:t>
      </w:r>
      <w:bookmarkEnd w:id="2"/>
    </w:p>
    <w:sectPr w:rsidR="000208BE"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958" w:rsidRDefault="00F90958">
      <w:r>
        <w:separator/>
      </w:r>
    </w:p>
  </w:endnote>
  <w:endnote w:type="continuationSeparator" w:id="0">
    <w:p w:rsidR="00F90958" w:rsidRDefault="00F9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958" w:rsidRDefault="00F90958">
      <w:r>
        <w:separator/>
      </w:r>
    </w:p>
  </w:footnote>
  <w:footnote w:type="continuationSeparator" w:id="0">
    <w:p w:rsidR="00F90958" w:rsidRDefault="00F90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CFC495D"/>
    <w:multiLevelType w:val="hybridMultilevel"/>
    <w:tmpl w:val="7FD463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1027E0"/>
    <w:multiLevelType w:val="hybridMultilevel"/>
    <w:tmpl w:val="0D4EC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8"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1"/>
  </w:num>
  <w:num w:numId="2">
    <w:abstractNumId w:val="34"/>
  </w:num>
  <w:num w:numId="3">
    <w:abstractNumId w:val="39"/>
  </w:num>
  <w:num w:numId="4">
    <w:abstractNumId w:val="12"/>
  </w:num>
  <w:num w:numId="5">
    <w:abstractNumId w:val="17"/>
  </w:num>
  <w:num w:numId="6">
    <w:abstractNumId w:val="6"/>
  </w:num>
  <w:num w:numId="7">
    <w:abstractNumId w:val="10"/>
  </w:num>
  <w:num w:numId="8">
    <w:abstractNumId w:val="33"/>
  </w:num>
  <w:num w:numId="9">
    <w:abstractNumId w:val="27"/>
  </w:num>
  <w:num w:numId="10">
    <w:abstractNumId w:val="2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1"/>
  </w:num>
  <w:num w:numId="14">
    <w:abstractNumId w:val="29"/>
  </w:num>
  <w:num w:numId="15">
    <w:abstractNumId w:val="7"/>
  </w:num>
  <w:num w:numId="16">
    <w:abstractNumId w:val="2"/>
  </w:num>
  <w:num w:numId="17">
    <w:abstractNumId w:val="23"/>
  </w:num>
  <w:num w:numId="18">
    <w:abstractNumId w:val="19"/>
  </w:num>
  <w:num w:numId="19">
    <w:abstractNumId w:val="3"/>
  </w:num>
  <w:num w:numId="20">
    <w:abstractNumId w:val="15"/>
  </w:num>
  <w:num w:numId="21">
    <w:abstractNumId w:val="16"/>
  </w:num>
  <w:num w:numId="22">
    <w:abstractNumId w:val="11"/>
  </w:num>
  <w:num w:numId="23">
    <w:abstractNumId w:val="40"/>
  </w:num>
  <w:num w:numId="24">
    <w:abstractNumId w:val="38"/>
  </w:num>
  <w:num w:numId="25">
    <w:abstractNumId w:val="32"/>
  </w:num>
  <w:num w:numId="26">
    <w:abstractNumId w:val="8"/>
  </w:num>
  <w:num w:numId="27">
    <w:abstractNumId w:val="36"/>
  </w:num>
  <w:num w:numId="28">
    <w:abstractNumId w:val="35"/>
  </w:num>
  <w:num w:numId="29">
    <w:abstractNumId w:val="20"/>
  </w:num>
  <w:num w:numId="30">
    <w:abstractNumId w:val="18"/>
  </w:num>
  <w:num w:numId="31">
    <w:abstractNumId w:val="30"/>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7"/>
  </w:num>
  <w:num w:numId="34">
    <w:abstractNumId w:val="9"/>
  </w:num>
  <w:num w:numId="35">
    <w:abstractNumId w:val="24"/>
  </w:num>
  <w:num w:numId="36">
    <w:abstractNumId w:val="14"/>
  </w:num>
  <w:num w:numId="37">
    <w:abstractNumId w:val="31"/>
  </w:num>
  <w:num w:numId="38">
    <w:abstractNumId w:val="28"/>
  </w:num>
  <w:num w:numId="39">
    <w:abstractNumId w:val="4"/>
  </w:num>
  <w:num w:numId="40">
    <w:abstractNumId w:val="22"/>
  </w:num>
  <w:num w:numId="41">
    <w:abstractNumId w:val="13"/>
  </w:num>
  <w:num w:numId="4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396"/>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BF5"/>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27"/>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1E4"/>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09"/>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5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787"/>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87CBB"/>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20B"/>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88A"/>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B0E"/>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136"/>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958"/>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D7A1E"/>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AF9"/>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33957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DDDF44D-0234-49DD-A929-01CB4283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2019-05-03T10:06:00Z</dcterms:created>
  <dcterms:modified xsi:type="dcterms:W3CDTF">2019-05-03T15:28:00Z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